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2" w:rsidRDefault="00AA05E2" w:rsidP="00AA05E2">
      <w:pPr>
        <w:jc w:val="center"/>
        <w:rPr>
          <w:rFonts w:ascii="Arial" w:hAnsi="Arial" w:cs="Arial"/>
          <w:bCs/>
          <w:spacing w:val="20"/>
          <w:sz w:val="22"/>
          <w:szCs w:val="22"/>
        </w:rPr>
      </w:pPr>
      <w:bookmarkStart w:id="0" w:name="_GoBack"/>
      <w:bookmarkEnd w:id="0"/>
    </w:p>
    <w:p w:rsidR="007D40DE" w:rsidRDefault="007D40DE" w:rsidP="00AA05E2">
      <w:pPr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7D40DE" w:rsidRPr="004A6D81" w:rsidRDefault="007D40DE" w:rsidP="00AA05E2">
      <w:pPr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AA05E2" w:rsidRDefault="00AA05E2" w:rsidP="00AA05E2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4A6D81">
        <w:rPr>
          <w:rFonts w:ascii="Arial" w:hAnsi="Arial" w:cs="Arial"/>
          <w:b/>
          <w:bCs/>
          <w:spacing w:val="20"/>
          <w:sz w:val="24"/>
          <w:szCs w:val="24"/>
        </w:rPr>
        <w:t>NOTĂ DE FUNDAMENTARE</w:t>
      </w:r>
    </w:p>
    <w:p w:rsidR="007D40DE" w:rsidRDefault="007D40DE" w:rsidP="00AA05E2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D40DE" w:rsidRDefault="007D40DE" w:rsidP="00AA05E2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D40DE" w:rsidRDefault="007D40DE" w:rsidP="00AA05E2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2973E7" w:rsidRPr="004A6D81" w:rsidRDefault="002973E7" w:rsidP="00AA05E2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tbl>
      <w:tblPr>
        <w:tblW w:w="10434" w:type="dxa"/>
        <w:tblInd w:w="-54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0" w:type="dxa"/>
          <w:right w:w="103" w:type="dxa"/>
        </w:tblCellMar>
        <w:tblLook w:val="04A0"/>
      </w:tblPr>
      <w:tblGrid>
        <w:gridCol w:w="3375"/>
        <w:gridCol w:w="1753"/>
        <w:gridCol w:w="3776"/>
        <w:gridCol w:w="1530"/>
      </w:tblGrid>
      <w:tr w:rsidR="00AA05E2" w:rsidRPr="004A6D81" w:rsidTr="00D74D43">
        <w:trPr>
          <w:trHeight w:val="807"/>
        </w:trPr>
        <w:tc>
          <w:tcPr>
            <w:tcW w:w="1043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Secțiunea 1 </w:t>
            </w:r>
          </w:p>
          <w:p w:rsidR="00AA05E2" w:rsidRPr="004A6D81" w:rsidRDefault="00AA05E2" w:rsidP="003437B5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Titlul proiectului de act normativ</w:t>
            </w:r>
          </w:p>
          <w:p w:rsidR="00A34A48" w:rsidRPr="00AA5262" w:rsidRDefault="00A34A48" w:rsidP="00343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</w:p>
          <w:p w:rsidR="00AA05E2" w:rsidRPr="00AA5262" w:rsidRDefault="00AA05E2" w:rsidP="003437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</w:pPr>
            <w:r w:rsidRPr="00AA5262">
              <w:rPr>
                <w:rFonts w:ascii="Arial" w:hAnsi="Arial" w:cs="Arial"/>
                <w:color w:val="000000"/>
                <w:sz w:val="24"/>
                <w:szCs w:val="24"/>
                <w:lang w:bidi="hi-IN"/>
              </w:rPr>
              <w:t>HOTĂRÂRE</w:t>
            </w:r>
          </w:p>
          <w:p w:rsidR="00AA05E2" w:rsidRDefault="00F159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pacing w:val="6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>rivind</w:t>
            </w:r>
            <w:r w:rsidRPr="004A6D81">
              <w:rPr>
                <w:rFonts w:ascii="Arial" w:hAnsi="Arial" w:cs="Arial"/>
                <w:spacing w:val="6"/>
                <w:sz w:val="24"/>
                <w:szCs w:val="24"/>
              </w:rPr>
              <w:t xml:space="preserve"> aprobarea plății contribuți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>ilor</w:t>
            </w:r>
            <w:r w:rsidRPr="004A6D81">
              <w:rPr>
                <w:rFonts w:ascii="Arial" w:hAnsi="Arial" w:cs="Arial"/>
                <w:spacing w:val="6"/>
                <w:sz w:val="24"/>
                <w:szCs w:val="24"/>
              </w:rPr>
              <w:t xml:space="preserve"> financiare voluntare a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>le</w:t>
            </w:r>
            <w:r w:rsidRPr="004A6D81">
              <w:rPr>
                <w:rFonts w:ascii="Arial" w:hAnsi="Arial" w:cs="Arial"/>
                <w:spacing w:val="6"/>
                <w:sz w:val="24"/>
                <w:szCs w:val="24"/>
              </w:rPr>
              <w:t xml:space="preserve"> României la Organizația pentru Cooperare și Dezvoltare Economică (OCDE), în vederea finanțării 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și realizării </w:t>
            </w:r>
            <w:r w:rsidRPr="004A6D81">
              <w:rPr>
                <w:rFonts w:ascii="Arial" w:hAnsi="Arial" w:cs="Arial"/>
                <w:spacing w:val="6"/>
                <w:sz w:val="24"/>
                <w:szCs w:val="24"/>
              </w:rPr>
              <w:t>activității OCDE pentru studiile ce vizează analiza aplicării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principiilor guvernanței corporative a</w:t>
            </w:r>
            <w:r w:rsidRPr="004A6D81">
              <w:rPr>
                <w:rFonts w:ascii="Arial" w:hAnsi="Arial" w:cs="Arial"/>
                <w:spacing w:val="6"/>
                <w:sz w:val="24"/>
                <w:szCs w:val="24"/>
              </w:rPr>
              <w:t xml:space="preserve"> întreprinderilor publice din România și analiza 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situației din România privind aplicarea Coduril</w:t>
            </w:r>
            <w:r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or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OCDE de liberalizare a mișcărilor de capital și a operațiunilor curente invizibile</w:t>
            </w:r>
            <w:r w:rsidRPr="004A6D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0DE" w:rsidRDefault="007D40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40DE" w:rsidRPr="004A6D81" w:rsidRDefault="007D4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E2" w:rsidRPr="004A6D81" w:rsidTr="00D74D43">
        <w:trPr>
          <w:trHeight w:val="458"/>
        </w:trPr>
        <w:tc>
          <w:tcPr>
            <w:tcW w:w="1043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Secțiunea a 2-a </w:t>
            </w:r>
          </w:p>
          <w:p w:rsidR="00AA05E2" w:rsidRPr="004A6D81" w:rsidRDefault="00AA05E2" w:rsidP="003437B5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Motivul emiterii actului normativ</w:t>
            </w:r>
          </w:p>
        </w:tc>
      </w:tr>
      <w:tr w:rsidR="00AA05E2" w:rsidRPr="004A6D81" w:rsidTr="00AA5262">
        <w:trPr>
          <w:trHeight w:val="70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1. Descrierea </w:t>
            </w:r>
            <w:r w:rsidR="009244CC" w:rsidRPr="004A6D81">
              <w:rPr>
                <w:rFonts w:ascii="Arial" w:hAnsi="Arial" w:cs="Arial"/>
                <w:bCs/>
                <w:sz w:val="24"/>
                <w:szCs w:val="24"/>
              </w:rPr>
              <w:t>situației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actuale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4A48" w:rsidRPr="004A6D81" w:rsidRDefault="00EF49D6" w:rsidP="006C246F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Pe fondul </w:t>
            </w:r>
            <w:r w:rsidR="00A34A4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demersurilor diplomatice susținute și al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eforturilor intense din ultimii ani de participare la activitatea structurilor și la evenimente OCDE, de preluare a standardelor, recomandărilor și instrumentelor juridice ale acesteia, și de implementare în relația cu organizația a unui număr însemnat de proiecte menite să contribuie la buna guvernare economică, candidatura R</w:t>
            </w:r>
            <w:r w:rsidR="00A34A4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omâniei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la OCDE se află în prezent într-un stadiu avansat, țara noastră fiind considerat</w:t>
            </w:r>
            <w:r w:rsidR="00A34A4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ă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cel mai bine pregătit aspirant dintre cei europeni.</w:t>
            </w:r>
          </w:p>
          <w:p w:rsidR="00EF49D6" w:rsidRPr="00AA5262" w:rsidRDefault="00DB159C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În acest context, a</w:t>
            </w:r>
            <w:r w:rsidR="00A34A4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vând în vedere importanța obiectivului primirii unei invitații de a deschide negocierile de aderare la OCDE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A34A4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Ministerul Afacerilor Externe (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MAE</w:t>
            </w:r>
            <w:r w:rsidR="00A34A4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)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a efectuat demersuri și a obținut alocarea în bugetul ministerului pe anul în curs a unor fonduri destinate promovării în continuare a candidaturii R</w:t>
            </w:r>
            <w:r w:rsidR="00E5610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omâniei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la organizație. În același timp, MAE </w:t>
            </w:r>
            <w:r w:rsidR="00D46427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are în vedere un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plan </w:t>
            </w:r>
            <w:r w:rsidR="00D46427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orientativ 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de măsuri pentru menținerea în această perioadă în atenție a subiectului candidaturii R</w:t>
            </w:r>
            <w:r w:rsidR="00E5610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omâniei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și pentru promovarea ei în relația cu partenerii interni și externi.</w:t>
            </w:r>
          </w:p>
          <w:p w:rsidR="00EF49D6" w:rsidRPr="00AA5262" w:rsidRDefault="00FF40B2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Unele dintre aceste măsuri vizează impulsionarea demarării și realizării unor proiecte majore de 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cooperare convenite 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cu OCDE 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care corespund obiectivelor bunei guvernări în R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omânia, inclusiv prin 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utiliz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area</w:t>
            </w:r>
            <w:r w:rsidR="00EF49D6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fondurilor de promovare a candidaturii aflate la dispoziția MAE.</w:t>
            </w:r>
          </w:p>
          <w:p w:rsidR="00A34A48" w:rsidRPr="00AA5262" w:rsidRDefault="008924ED" w:rsidP="00AA5262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În acest sens, din consultările preliminar</w:t>
            </w:r>
            <w:r w:rsidR="00845D5E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e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cu Secretariatul General al Guvernului/SGG (care coordonează </w:t>
            </w:r>
            <w:r w:rsidR="00FF40B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activitatea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C</w:t>
            </w:r>
            <w:r w:rsidR="00FF40B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omitetului Interministerial pentru relațiile României cu OCDE</w:t>
            </w:r>
            <w:r w:rsidR="00265C28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și a </w:t>
            </w:r>
            <w:r w:rsidR="00265C28" w:rsidRPr="00DD796B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Secretariatul</w:t>
            </w:r>
            <w:r w:rsidR="00265C28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uiacestuia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), ambasada R</w:t>
            </w:r>
            <w:r w:rsidR="00E5610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omâniei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la Paris și ministere/instituții de linie implicate în activități de cooperare cu structurile OCDE, a rezultat că unele dintre proiectele antamate de entități din R</w:t>
            </w:r>
            <w:r w:rsidR="00FF40B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omânia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cu organizația </w:t>
            </w:r>
            <w:r w:rsidR="00FF40B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- printre care se află și cele care fac obiectul prezentei Hotărâri de Guvern -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prezintă un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grad ridicat de relevanță atât pentru consolidarea </w:t>
            </w:r>
            <w:r w:rsidR="00E03D5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și acceptarea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candidaturii R</w:t>
            </w:r>
            <w:r w:rsidR="00E5610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omâniei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, cât și pentru derularea în bune condițiuni a negocierilor de aderare, după </w:t>
            </w:r>
            <w:r w:rsidR="00FF40B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îndeplinirea obiectivului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primir</w:t>
            </w:r>
            <w:r w:rsidR="00FF40B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ii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 xml:space="preserve"> invitației de deschidere a acestora și elaborarea de către Secretariatul OCDE a Foii de parcurs (</w:t>
            </w:r>
            <w:r w:rsidRPr="00AA5262"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  <w:lang w:eastAsia="en-US"/>
              </w:rPr>
              <w:t>Roadmap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lang w:eastAsia="en-US"/>
              </w:rPr>
              <w:t>) pentru aderare.</w:t>
            </w:r>
          </w:p>
          <w:p w:rsidR="00973AB3" w:rsidRPr="004A6D81" w:rsidRDefault="00973AB3" w:rsidP="00AA5262">
            <w:pPr>
              <w:spacing w:after="120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  <w:t>Guvernan</w:t>
            </w:r>
            <w:r w:rsidR="00A23EA7" w:rsidRPr="004A6D81"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  <w:t>ț</w:t>
            </w:r>
            <w:r w:rsidRPr="004A6D81"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  <w:t>a corporativ</w:t>
            </w:r>
            <w:r w:rsidR="00A23EA7" w:rsidRPr="004A6D81"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  <w:t>ăa întreprinderilor de stat</w:t>
            </w:r>
          </w:p>
          <w:p w:rsidR="00732A04" w:rsidRDefault="00732A04" w:rsidP="00AA5262">
            <w:pPr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Demersurile României de a adera la principiile guvernanței corporative a între</w:t>
            </w:r>
            <w:r w:rsidR="00CB475D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prinderilor de stat ale OCDE a</w:t>
            </w:r>
            <w:r w:rsidR="00163116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u</w:t>
            </w:r>
            <w:r w:rsidR="00CB475D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î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nceput în anul 2016 prin transmiterea scrisorii de aderare la</w:t>
            </w:r>
            <w:r w:rsidR="003529E7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liniile directoare  ale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OCDE</w:t>
            </w:r>
            <w:r w:rsidR="00024080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în ceea ce privește guvernanța 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corporativă a </w:t>
            </w:r>
            <w:r w:rsidR="00E16B1D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întreprinderilor </w:t>
            </w:r>
            <w:r w:rsidR="003529E7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de stat </w:t>
            </w:r>
            <w:r w:rsidR="00E16B1D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din România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. În luna februarie 2020, </w:t>
            </w:r>
            <w:r w:rsidR="005A4EF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la solicitarea </w:t>
            </w:r>
            <w:r w:rsidR="00526D7E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SGG</w:t>
            </w:r>
            <w:r w:rsidR="0059771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="005A4EF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în calitate de coordonator pentru relația cu OCDE</w:t>
            </w:r>
            <w:r w:rsidR="0059771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)</w:t>
            </w:r>
            <w:r w:rsidR="005A4EF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și a Ministerului Finanțelor</w:t>
            </w:r>
            <w:r w:rsidR="00FD31C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Ambasada României la Paris a contactat OCDE în vederea inițierii de către România a dialogului pe această temă. </w:t>
            </w:r>
          </w:p>
          <w:p w:rsidR="008E3CDB" w:rsidRPr="00AA5262" w:rsidRDefault="00732A04" w:rsidP="00AA5262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 w:rsidRPr="00DD0AB0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În urma răspunsului primit în 2020 din partea OCDE de demarare a analizei cu privire la guvernanța corporativă, România și-a exprimat acordul de a face această analiză</w:t>
            </w:r>
            <w:r w:rsidR="00813959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.</w:t>
            </w:r>
            <w:r w:rsidR="00EF39B8" w:rsidRPr="00AA5262">
              <w:rPr>
                <w:rFonts w:ascii="Arial" w:eastAsia="Arial" w:hAnsi="Arial" w:cs="Arial"/>
                <w:bCs/>
                <w:iCs/>
                <w:color w:val="auto"/>
                <w:sz w:val="24"/>
                <w:szCs w:val="24"/>
              </w:rPr>
              <w:t>Costul analizei</w:t>
            </w:r>
            <w:r w:rsidRPr="00AA5262">
              <w:rPr>
                <w:rFonts w:ascii="Arial" w:eastAsia="Arial" w:hAnsi="Arial" w:cs="Arial"/>
                <w:bCs/>
                <w:iCs/>
                <w:color w:val="auto"/>
                <w:sz w:val="24"/>
                <w:szCs w:val="24"/>
              </w:rPr>
              <w:t xml:space="preserve"> OCDE </w:t>
            </w:r>
            <w:r w:rsidR="002F7556" w:rsidRPr="00AA5262">
              <w:rPr>
                <w:rFonts w:ascii="Arial" w:eastAsia="Arial" w:hAnsi="Arial" w:cs="Arial"/>
                <w:bCs/>
                <w:iCs/>
                <w:color w:val="auto"/>
                <w:sz w:val="24"/>
                <w:szCs w:val="24"/>
              </w:rPr>
              <w:t xml:space="preserve">este de </w:t>
            </w:r>
            <w:r w:rsidRPr="00AA5262">
              <w:rPr>
                <w:rFonts w:ascii="Arial" w:eastAsia="Arial" w:hAnsi="Arial" w:cs="Arial"/>
                <w:bCs/>
                <w:iCs/>
                <w:color w:val="auto"/>
                <w:sz w:val="24"/>
                <w:szCs w:val="24"/>
              </w:rPr>
              <w:t>180.000 euro.</w:t>
            </w:r>
          </w:p>
          <w:p w:rsidR="008E3CDB" w:rsidRPr="004A6D81" w:rsidRDefault="00163116" w:rsidP="00AA5262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D</w:t>
            </w:r>
            <w:r w:rsidR="0084589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eoarece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nu s-a primit un răspuns pozitiv în vederea finanțării prin granturile </w:t>
            </w:r>
            <w:r w:rsidR="0084589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Spațiului Economic European (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SEE</w:t>
            </w:r>
            <w:r w:rsidR="0084589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)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și norvegiene, Ministerul Finanțelor </w:t>
            </w:r>
            <w:r w:rsidR="0084589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(MF) 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a luat decizia de a depune o cerere de finanțare în octombrie 2020 către Comisia Europeană</w:t>
            </w:r>
            <w:r w:rsidR="00A9035E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prin </w:t>
            </w:r>
            <w:r w:rsidR="0084589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programul 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SRSS.</w:t>
            </w:r>
            <w:r w:rsidR="008E3CDB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Proiectul nu a obținut aprobarea, acest </w:t>
            </w:r>
            <w:r w:rsidR="00845D5E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aspect </w:t>
            </w:r>
            <w:r w:rsidR="008E3CDB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fiind </w:t>
            </w:r>
            <w:r w:rsidR="0059771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comunicat </w:t>
            </w:r>
            <w:r w:rsidR="008E3CDB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în luna februarie 2021.</w:t>
            </w:r>
          </w:p>
          <w:p w:rsidR="00024080" w:rsidRPr="004A6D81" w:rsidRDefault="00973AB3" w:rsidP="00AA5262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  <w:t>Codurile O</w:t>
            </w:r>
            <w:r w:rsidR="009A1F9C" w:rsidRPr="004A6D81"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  <w:t>CDE</w:t>
            </w:r>
            <w:r w:rsidR="00D74D43" w:rsidRPr="004A6D81"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de liberalizare a miș</w:t>
            </w:r>
            <w:r w:rsidR="00C601CE" w:rsidRPr="004A6D81">
              <w:rPr>
                <w:rFonts w:ascii="Arial" w:eastAsia="Arial" w:hAnsi="Arial" w:cs="Arial"/>
                <w:b/>
                <w:bCs/>
                <w:iCs/>
                <w:color w:val="000000"/>
                <w:sz w:val="24"/>
                <w:szCs w:val="24"/>
              </w:rPr>
              <w:t>cărilor de capital și a operațiunilor curente invizibile</w:t>
            </w:r>
          </w:p>
          <w:p w:rsidR="00AC04B5" w:rsidRPr="004A6D81" w:rsidRDefault="009A3413" w:rsidP="00AA5262">
            <w:pPr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Ca urmare a deciziei OCDE</w:t>
            </w:r>
            <w:r w:rsidR="00AC04B5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din anul 2011</w:t>
            </w:r>
            <w:r w:rsidR="00D63FE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de a deschide Codurile OCDE de liberalizare a mișcărilor de capital și a operațiunilor curente invizibile către țări non-membre în vederea</w:t>
            </w:r>
            <w:r w:rsidR="00FD0F6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posibilei aderări</w:t>
            </w:r>
            <w:r w:rsidR="00D63FE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 România a transmis scrisoare de aderare la</w:t>
            </w:r>
            <w:r w:rsidR="00FD0F6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OCDE </w:t>
            </w:r>
            <w:r w:rsidR="00AC04B5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î</w:t>
            </w:r>
            <w:r w:rsidR="00D63FE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n data de 14 aprilie 2017. </w:t>
            </w:r>
          </w:p>
          <w:p w:rsidR="009E51C1" w:rsidRPr="004A6D81" w:rsidRDefault="00D63FE3" w:rsidP="00AA5262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Ulterior, în data de 14 decembrie 2017 Consiliul OCDE a invitat România să adere la Coduri sub rezerva examinării complete de către Comitetul deInvestiții al OCDE a poziției propuse de  România în cadrul codurilor</w:t>
            </w:r>
            <w:r w:rsidR="00AC04B5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OCDE de liberalizare a mișcărilor de capital și a operațiunilor curente invizibile</w:t>
            </w:r>
            <w:r w:rsidR="009E51C1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și care are ca punct de plecare completarea unui chestionar extins, de către instituțiile naționale implicate din România. </w:t>
            </w:r>
          </w:p>
          <w:p w:rsidR="009A3413" w:rsidRPr="00DD0AB0" w:rsidRDefault="009E51C1" w:rsidP="00AA5262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Cs/>
                <w:iCs/>
                <w:color w:val="auto"/>
                <w:sz w:val="24"/>
                <w:szCs w:val="24"/>
              </w:rPr>
            </w:pPr>
            <w:r w:rsidRPr="00DD0AB0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În urma răspunsului primit din partea OCDE în 2020, de demarare a analizei cu privire la </w:t>
            </w:r>
            <w:r w:rsidR="00E06DEC" w:rsidRPr="00DD0AB0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codurile OCDE de liberalizare a mișcărilor de capital și a operațiunilor curente invizibile</w:t>
            </w:r>
            <w:r w:rsidRPr="00DD0AB0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, România și-a exprimat acordul de a face această analiză. </w:t>
            </w:r>
            <w:r w:rsidR="00813959" w:rsidRPr="00DD0AB0">
              <w:rPr>
                <w:rFonts w:ascii="Arial" w:eastAsia="Arial" w:hAnsi="Arial" w:cs="Arial"/>
                <w:bCs/>
                <w:iCs/>
                <w:color w:val="auto"/>
                <w:sz w:val="24"/>
                <w:szCs w:val="24"/>
              </w:rPr>
              <w:t xml:space="preserve">Costul analizei OCDE este de </w:t>
            </w:r>
            <w:r w:rsidRPr="00DD0AB0">
              <w:rPr>
                <w:rFonts w:ascii="Arial" w:eastAsia="Arial" w:hAnsi="Arial" w:cs="Arial"/>
                <w:bCs/>
                <w:iCs/>
                <w:color w:val="auto"/>
                <w:sz w:val="24"/>
                <w:szCs w:val="24"/>
              </w:rPr>
              <w:t xml:space="preserve">230.000 euro. </w:t>
            </w:r>
          </w:p>
          <w:p w:rsidR="00973AB3" w:rsidRPr="004A6D81" w:rsidRDefault="00D63FE3" w:rsidP="00AA5262">
            <w:pPr>
              <w:suppressAutoHyphens w:val="0"/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Astfel, la nivel național, aderarea la Codurile O</w:t>
            </w:r>
            <w:r w:rsidR="00F03809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CDE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de liberalizare s</w:t>
            </w:r>
            <w:r w:rsidR="00973AB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-a decis să fie realizată 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coordonat prin Secretariatul General al Guvernului</w:t>
            </w:r>
            <w:r w:rsidR="00973AB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(SGG)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 alături de M</w:t>
            </w:r>
            <w:r w:rsidR="00025B1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F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 Autoritatea de Supraveghere Financiară (ASF) și Banca Națională a României (BNR)</w:t>
            </w:r>
            <w:r w:rsidR="009E51C1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 în calitate de parteneri tehnici</w:t>
            </w:r>
            <w:r w:rsidR="00973AB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9E51C1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În completarea acestui </w:t>
            </w:r>
            <w:r w:rsidR="009E51C1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lastRenderedPageBreak/>
              <w:t>chestionar vor fi implicate si alte instituții din Romania pentru care M</w:t>
            </w:r>
            <w:r w:rsidR="00025B1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F</w:t>
            </w:r>
            <w:r w:rsidR="009E51C1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a inițiat procesul de consultare.</w:t>
            </w:r>
          </w:p>
          <w:p w:rsidR="002217DA" w:rsidRPr="004A6D81" w:rsidRDefault="006C28C1" w:rsidP="00AA5262">
            <w:pPr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AA5262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 urma discuțiilor cu privire la identificarea sursei de finanțare, în luna martie 2020, SGG a propus includerea acestei examinări ca și componentă în cadrul proiectului ”</w:t>
            </w:r>
            <w:r w:rsidRPr="00AA5262">
              <w:rPr>
                <w:rFonts w:ascii="Arial" w:eastAsia="Times New Roman" w:hAnsi="Arial" w:cs="Arial"/>
                <w:i/>
                <w:sz w:val="24"/>
                <w:szCs w:val="24"/>
                <w:lang w:eastAsia="ro-RO"/>
              </w:rPr>
              <w:t>Capacity building in the field of public governance - a coordinated approach of the Centre of the Government of Romania</w:t>
            </w:r>
            <w:r w:rsidRPr="00AA5262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", gestionat de SGG, proiect care urmează să fie finanțat prin Granturile SEE și Norvegiene 2014</w:t>
            </w:r>
            <w:r w:rsidR="00025B1F" w:rsidRPr="004A6D81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-</w:t>
            </w:r>
            <w:r w:rsidRPr="00AA5262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2021. </w:t>
            </w:r>
            <w:r w:rsidR="002217D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În data de 10 martie 2021, cererea de finanțare pentru proiectul predefinit </w:t>
            </w:r>
            <w:r w:rsidR="00025B1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”</w:t>
            </w:r>
            <w:r w:rsidR="002217D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Dezvoltarea capacităților în domeniul guvernării publice – o abordare coordonată a Centrului Guvernului României” depus de SGG, a fost aprobată pentru finanțare condiționată, prin Hotărârea Consiliului Director al </w:t>
            </w:r>
            <w:r w:rsidR="00025B1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Fondului Român de Dezvoltare Socială (</w:t>
            </w:r>
            <w:r w:rsidR="002217D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FRDS</w:t>
            </w:r>
            <w:r w:rsidR="00025B1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)</w:t>
            </w:r>
            <w:r w:rsidR="002217D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din 11.02.2021. Condiționalitățile solicitate de FRDS se referă atât la transmitere unor documente, cât și la clarificarea unor prevederi din cererea de finanțare. </w:t>
            </w:r>
          </w:p>
          <w:p w:rsidR="009E51C1" w:rsidRPr="004A6D81" w:rsidRDefault="00025B1F" w:rsidP="007F1888">
            <w:pPr>
              <w:spacing w:after="120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Având în vedere posibilitatea</w:t>
            </w:r>
            <w:r w:rsidR="008037E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ca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proiectul 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menționat al SGG privind 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guvernanț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a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publică </w:t>
            </w:r>
            <w:r w:rsidR="008037E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să nu fie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aprobat spre finanțare din fonduri norvegiene de </w:t>
            </w:r>
            <w:r w:rsidR="008037E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FRDS sau 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ca </w:t>
            </w:r>
            <w:r w:rsidR="008037E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implementarea sa să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sufer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e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noi amânări, </w:t>
            </w:r>
            <w:r w:rsidR="008037E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MF </w:t>
            </w:r>
            <w:r w:rsidR="007F1888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a propus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SGG retragerea proiectului </w:t>
            </w:r>
            <w:r w:rsidR="007454A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referitor la Codurile OCDE 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din studiul p</w:t>
            </w:r>
            <w:r w:rsidR="007454A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rivind</w:t>
            </w:r>
            <w:r w:rsidR="002217DA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guvernanța publică</w:t>
            </w:r>
            <w:r w:rsidR="00FE128C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A05E2" w:rsidRPr="004A6D81" w:rsidTr="00AA5262">
        <w:trPr>
          <w:trHeight w:val="352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2.Schimbări preconizate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4253" w:rsidRPr="00AA5262" w:rsidRDefault="00B26428" w:rsidP="00AA5262">
            <w:pPr>
              <w:suppressAutoHyphens w:val="0"/>
              <w:spacing w:after="120"/>
              <w:ind w:right="41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Necesitatea demarării </w:t>
            </w:r>
            <w:r w:rsidR="006C246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celor </w:t>
            </w:r>
            <w:r w:rsidR="00FE128C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două proiecte </w:t>
            </w:r>
            <w:r w:rsidR="006C246F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de relevanță majoră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pentru candidatura României la OCDE și pentru negocieri viitoare de aderare</w:t>
            </w:r>
            <w:r w:rsidR="00A9251C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(după primirea invitației de aderare)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, precum </w:t>
            </w:r>
            <w:r w:rsidR="00A9251C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și </w:t>
            </w:r>
            <w:r w:rsidR="00FE128C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progresele 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în materie ale </w:t>
            </w:r>
            <w:r w:rsidR="00FE128C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celorlalte două țări europene aspirante (Croația și Bulgaria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),</w:t>
            </w:r>
            <w:r w:rsidR="00FE128C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impun demersuri rapide pentru deblocarea </w:t>
            </w:r>
            <w:r w:rsidR="00A9251C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acestor proiecte</w:t>
            </w:r>
            <w:r w:rsidR="00FE128C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E128C" w:rsidRPr="00AA5262" w:rsidRDefault="00FE128C" w:rsidP="00AA5262">
            <w:pPr>
              <w:suppressAutoHyphens w:val="0"/>
              <w:spacing w:after="120"/>
              <w:ind w:right="41"/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În consecință, prin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dialogul dintre MF, MAE și SGG </w:t>
            </w:r>
            <w:r w:rsidR="00E06DEC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s-a </w:t>
            </w:r>
            <w:r w:rsidR="0059771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identificat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soluția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finanț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ării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celor două proiecte</w:t>
            </w:r>
            <w:r w:rsidR="00E06DEC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în valoare totală de  410.000 euro</w:t>
            </w:r>
            <w:r w:rsidR="00E06DEC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din bugetul a</w:t>
            </w:r>
            <w:r w:rsidR="00743FB6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locat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MAE </w:t>
            </w:r>
            <w:r w:rsidR="00743FB6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în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2021 pentru promovarea candidaturii </w:t>
            </w:r>
            <w:r w:rsidR="00743FB6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României </w:t>
            </w:r>
            <w:r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la OCDE.</w:t>
            </w:r>
          </w:p>
          <w:p w:rsidR="00AA05E2" w:rsidRPr="004A6D81" w:rsidRDefault="00973AB3" w:rsidP="001E363A">
            <w:pPr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Ca atare</w:t>
            </w:r>
            <w:r w:rsidR="000B1F40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se propune 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aprob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area 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p</w:t>
            </w:r>
            <w:r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lății 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contribuți</w:t>
            </w:r>
            <w:r w:rsidR="00497988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ilor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voluntare a</w:t>
            </w:r>
            <w:r w:rsidR="00497988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le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României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în cuantum </w:t>
            </w:r>
            <w:r w:rsidR="00497988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total 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de </w:t>
            </w:r>
            <w:r w:rsidR="00024080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410.000 </w:t>
            </w:r>
            <w:r w:rsidR="00813959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e</w:t>
            </w:r>
            <w:r w:rsidR="00024080" w:rsidRPr="00AA5262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uro</w:t>
            </w:r>
            <w:r w:rsidR="00B3526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către O</w:t>
            </w:r>
            <w:r w:rsidR="00E674D7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CDE</w:t>
            </w:r>
            <w:r w:rsidR="008E6034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="00AA05E2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cu încadrarea în sumele prevăzute în bugetul de stat pentru </w:t>
            </w:r>
            <w:r w:rsidR="001E363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Ministerul Afacerilor Externe.</w:t>
            </w:r>
          </w:p>
          <w:p w:rsidR="00973AB3" w:rsidRPr="004A6D81" w:rsidRDefault="00973AB3">
            <w:pPr>
              <w:jc w:val="both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262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3. Alte </w:t>
            </w:r>
            <w:r w:rsidR="009244CC" w:rsidRPr="004A6D81">
              <w:rPr>
                <w:rFonts w:ascii="Arial" w:hAnsi="Arial" w:cs="Arial"/>
                <w:bCs/>
                <w:sz w:val="24"/>
                <w:szCs w:val="24"/>
              </w:rPr>
              <w:t>informații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82C6D" w:rsidRDefault="00D82C6D" w:rsidP="003437B5">
            <w:pPr>
              <w:pStyle w:val="TableContents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A05E2" w:rsidRPr="004A6D81" w:rsidRDefault="00AA05E2" w:rsidP="003437B5">
            <w:pPr>
              <w:pStyle w:val="TableContents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color w:val="000000"/>
                <w:sz w:val="24"/>
                <w:szCs w:val="24"/>
              </w:rPr>
              <w:t>Nu este cazul.</w:t>
            </w:r>
          </w:p>
          <w:p w:rsidR="00AA05E2" w:rsidRPr="004A6D81" w:rsidRDefault="00AA05E2" w:rsidP="003437B5">
            <w:pPr>
              <w:pStyle w:val="TableContents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A05E2" w:rsidRPr="004A6D81" w:rsidTr="00D74D43">
        <w:trPr>
          <w:trHeight w:val="286"/>
        </w:trPr>
        <w:tc>
          <w:tcPr>
            <w:tcW w:w="1043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9244CC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Secțiunea</w:t>
            </w:r>
            <w:r w:rsidR="00AA05E2"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 3-a</w:t>
            </w:r>
          </w:p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Impactul socioeconomic al proiectului de act normativ</w:t>
            </w:r>
          </w:p>
        </w:tc>
      </w:tr>
      <w:tr w:rsidR="00AA05E2" w:rsidRPr="004A6D81" w:rsidTr="00AA5262">
        <w:trPr>
          <w:trHeight w:val="477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Style w:val="CommentReference1"/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1. Impactul macroecono</w:t>
            </w:r>
            <w:r w:rsidRPr="004A6D81">
              <w:rPr>
                <w:rStyle w:val="CommentReference1"/>
                <w:rFonts w:ascii="Arial" w:hAnsi="Arial" w:cs="Arial"/>
                <w:bCs/>
                <w:sz w:val="24"/>
                <w:szCs w:val="24"/>
              </w:rPr>
              <w:t>mic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A05E2" w:rsidRPr="004A6D81" w:rsidTr="00AA5262">
        <w:trPr>
          <w:trHeight w:val="579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31D9C" w:rsidRPr="004A6D8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1.Impactul asupra mediului </w:t>
            </w:r>
            <w:r w:rsidR="009244CC" w:rsidRPr="004A6D81">
              <w:rPr>
                <w:rFonts w:ascii="Arial" w:hAnsi="Arial" w:cs="Arial"/>
                <w:bCs/>
                <w:sz w:val="24"/>
                <w:szCs w:val="24"/>
              </w:rPr>
              <w:t>concurențialși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domeniului ajutoarelor de stat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5E2" w:rsidRPr="004A6D81" w:rsidRDefault="00AA05E2" w:rsidP="003437B5">
            <w:pPr>
              <w:pStyle w:val="TableContents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A05E2" w:rsidRPr="004A6D81" w:rsidRDefault="00AA05E2" w:rsidP="003437B5">
            <w:pPr>
              <w:pStyle w:val="TableContents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A6D81">
              <w:rPr>
                <w:rFonts w:ascii="Arial" w:eastAsia="Arial" w:hAnsi="Arial" w:cs="Arial"/>
                <w:color w:val="000000"/>
                <w:sz w:val="24"/>
                <w:szCs w:val="24"/>
              </w:rPr>
              <w:t>Nu este cazul.</w:t>
            </w:r>
          </w:p>
        </w:tc>
      </w:tr>
      <w:tr w:rsidR="00AA05E2" w:rsidRPr="004A6D81" w:rsidTr="00AA5262">
        <w:trPr>
          <w:trHeight w:val="354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2. Impactul asupra mediului de afaceri</w:t>
            </w:r>
          </w:p>
          <w:p w:rsidR="00D559CD" w:rsidRPr="004A6D81" w:rsidRDefault="00D559CD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59CD" w:rsidRDefault="00D559CD" w:rsidP="003437B5">
            <w:pPr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</w:p>
          <w:p w:rsidR="00AA05E2" w:rsidRDefault="00AA05E2" w:rsidP="003437B5">
            <w:pPr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Nu este cazul.</w:t>
            </w:r>
          </w:p>
          <w:p w:rsidR="00D559CD" w:rsidRPr="004A6D81" w:rsidRDefault="00D559CD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356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B1E69" w:rsidRDefault="00AA05E2" w:rsidP="003437B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 Impactul asupra sarcinilor       administrative</w:t>
            </w:r>
          </w:p>
          <w:p w:rsidR="00AA05E2" w:rsidRPr="004A6D81" w:rsidRDefault="00AA05E2" w:rsidP="003437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pStyle w:val="TableText"/>
              <w:widowControl/>
              <w:jc w:val="both"/>
              <w:rPr>
                <w:rFonts w:ascii="Arial" w:eastAsia="Arial" w:hAnsi="Arial" w:cs="Arial"/>
                <w:bCs/>
                <w:color w:val="000000"/>
                <w:lang w:val="ro-RO" w:eastAsia="ro-RO"/>
              </w:rPr>
            </w:pPr>
            <w:r w:rsidRPr="004A6D81">
              <w:rPr>
                <w:rFonts w:ascii="Arial" w:eastAsia="Arial" w:hAnsi="Arial" w:cs="Arial"/>
                <w:bCs/>
                <w:color w:val="000000"/>
                <w:lang w:val="ro-RO" w:eastAsia="ro-RO"/>
              </w:rPr>
              <w:t>Nu este cazul.</w:t>
            </w:r>
          </w:p>
        </w:tc>
      </w:tr>
      <w:tr w:rsidR="00AA05E2" w:rsidRPr="004A6D81" w:rsidTr="00AA5262">
        <w:trPr>
          <w:trHeight w:val="429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B1E69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2.2</w:t>
            </w:r>
            <w:r w:rsidR="00D20044" w:rsidRPr="004A6D8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Impactul asupra întreprinderilor mici </w:t>
            </w:r>
            <w:r w:rsidR="00CB0898" w:rsidRPr="004A6D81">
              <w:rPr>
                <w:rFonts w:ascii="Arial" w:hAnsi="Arial" w:cs="Arial"/>
                <w:bCs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mijlocii </w:t>
            </w:r>
          </w:p>
          <w:p w:rsidR="00AA05E2" w:rsidRPr="004A6D81" w:rsidRDefault="00AA05E2" w:rsidP="003437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7D40DE">
            <w:pPr>
              <w:pStyle w:val="TableText"/>
              <w:widowControl/>
              <w:jc w:val="both"/>
              <w:rPr>
                <w:rFonts w:ascii="Arial" w:eastAsia="Arial" w:hAnsi="Arial" w:cs="Arial"/>
                <w:bCs/>
                <w:color w:val="000000"/>
                <w:lang w:val="ro-RO" w:eastAsia="ro-RO"/>
              </w:rPr>
            </w:pPr>
            <w:r w:rsidRPr="004A6D81">
              <w:rPr>
                <w:rFonts w:ascii="Arial" w:eastAsia="Arial" w:hAnsi="Arial" w:cs="Arial"/>
                <w:bCs/>
                <w:color w:val="000000"/>
                <w:lang w:val="ro-RO" w:eastAsia="ro-RO"/>
              </w:rPr>
              <w:t>Nu este cazul.</w:t>
            </w:r>
          </w:p>
        </w:tc>
      </w:tr>
      <w:tr w:rsidR="00AA05E2" w:rsidRPr="004A6D81" w:rsidTr="00AA5262">
        <w:trPr>
          <w:trHeight w:val="429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3. Impactul social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238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4. Impactul asupra mediului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D40DE" w:rsidRDefault="007D40DE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Nu se referă la acest subiect.</w:t>
            </w:r>
          </w:p>
          <w:p w:rsidR="007D40DE" w:rsidRPr="004A6D81" w:rsidRDefault="007D40DE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237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5. Alte </w:t>
            </w:r>
            <w:r w:rsidR="00CB0898" w:rsidRPr="004A6D81">
              <w:rPr>
                <w:rFonts w:ascii="Arial" w:hAnsi="Arial" w:cs="Arial"/>
                <w:bCs/>
                <w:sz w:val="24"/>
                <w:szCs w:val="24"/>
              </w:rPr>
              <w:t>informații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D40DE" w:rsidRDefault="007D40DE" w:rsidP="00343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5E2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Nu este cazul.</w:t>
            </w:r>
          </w:p>
          <w:p w:rsidR="007D40DE" w:rsidRPr="004A6D81" w:rsidRDefault="007D40DE" w:rsidP="00343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D74D43">
        <w:trPr>
          <w:trHeight w:val="319"/>
        </w:trPr>
        <w:tc>
          <w:tcPr>
            <w:tcW w:w="104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0044" w:rsidRPr="004A6D81" w:rsidRDefault="00CB08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Secțiunea</w:t>
            </w:r>
            <w:r w:rsidR="00AA05E2"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 4-a </w:t>
            </w:r>
          </w:p>
          <w:p w:rsidR="00AA05E2" w:rsidRPr="004A6D81" w:rsidRDefault="00AA05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Impactul financiar asupra bugetului general consolidat, atât pe termen scurt, pentru anul curent, cât </w:t>
            </w:r>
            <w:r w:rsidR="00CB0898" w:rsidRPr="004A6D81">
              <w:rPr>
                <w:rFonts w:ascii="Arial" w:hAnsi="Arial" w:cs="Arial"/>
                <w:bCs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pe termen lung (pe 5 ani)</w:t>
            </w:r>
          </w:p>
        </w:tc>
      </w:tr>
      <w:tr w:rsidR="00AA05E2" w:rsidRPr="004A6D81" w:rsidTr="00AA5262">
        <w:trPr>
          <w:trHeight w:val="276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Indicatori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Anul</w:t>
            </w:r>
          </w:p>
          <w:p w:rsidR="00AA05E2" w:rsidRPr="004A6D81" w:rsidRDefault="00AA05E2" w:rsidP="003437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Curent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Următorii</w:t>
            </w:r>
          </w:p>
          <w:p w:rsidR="00AA05E2" w:rsidRPr="004A6D81" w:rsidRDefault="00AA05E2" w:rsidP="003437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4 ani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Media</w:t>
            </w:r>
          </w:p>
          <w:p w:rsidR="00AA05E2" w:rsidRPr="004A6D81" w:rsidRDefault="00AA05E2" w:rsidP="003437B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pe 5 ani</w:t>
            </w:r>
          </w:p>
        </w:tc>
      </w:tr>
      <w:tr w:rsidR="00AA05E2" w:rsidRPr="004A6D81" w:rsidTr="00AA5262">
        <w:trPr>
          <w:trHeight w:val="240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3                 4               5             6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05E2" w:rsidRPr="004A6D81" w:rsidTr="00AA5262">
        <w:trPr>
          <w:trHeight w:val="115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882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1.Modificări ale veniturilor bugetare, plus/minus, din care: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a) buget de stat, din acesta: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(i) impozit pe profit</w:t>
            </w:r>
          </w:p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(ii) impozit pe venit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b) bugetele locale: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i) impozit pe profit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c)bugetul asigurărilor sociale de stat:</w:t>
            </w:r>
          </w:p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(i) </w:t>
            </w:r>
            <w:r w:rsidR="009244CC" w:rsidRPr="004A6D81">
              <w:rPr>
                <w:rFonts w:ascii="Arial" w:hAnsi="Arial" w:cs="Arial"/>
                <w:sz w:val="24"/>
                <w:szCs w:val="24"/>
              </w:rPr>
              <w:t>contribuții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de asigurări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803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2. Modificări ale cheltuielilor bugetare,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plus/minus, din care:</w:t>
            </w:r>
          </w:p>
          <w:p w:rsidR="00AA05E2" w:rsidRPr="00DB1E69" w:rsidRDefault="00AA05E2" w:rsidP="00DB1E69">
            <w:pPr>
              <w:pStyle w:val="ListParagraph"/>
              <w:numPr>
                <w:ilvl w:val="0"/>
                <w:numId w:val="2"/>
              </w:numPr>
              <w:ind w:left="266" w:hanging="2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E69">
              <w:rPr>
                <w:rFonts w:ascii="Arial" w:hAnsi="Arial" w:cs="Arial"/>
                <w:sz w:val="24"/>
                <w:szCs w:val="24"/>
              </w:rPr>
              <w:t>buget de stat, din acesta: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(i) cheltuieli de personal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(ii) bunuri </w:t>
            </w:r>
            <w:r w:rsidR="004F12D7" w:rsidRPr="004A6D81">
              <w:rPr>
                <w:rFonts w:ascii="Arial" w:hAnsi="Arial" w:cs="Arial"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servicii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b) bugete locale: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(i) cheltuieli de personal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(ii) bunuri </w:t>
            </w:r>
            <w:r w:rsidR="004F12D7" w:rsidRPr="004A6D81">
              <w:rPr>
                <w:rFonts w:ascii="Arial" w:hAnsi="Arial" w:cs="Arial"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servicii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c) bugetul asigurărilor sociale de stat: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(i) cheltuieli de personal</w:t>
            </w:r>
          </w:p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(ii) bunuri </w:t>
            </w:r>
            <w:r w:rsidR="004F12D7" w:rsidRPr="004A6D81">
              <w:rPr>
                <w:rFonts w:ascii="Arial" w:hAnsi="Arial" w:cs="Arial"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servicii</w:t>
            </w:r>
          </w:p>
        </w:tc>
        <w:tc>
          <w:tcPr>
            <w:tcW w:w="70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956"/>
        </w:trPr>
        <w:tc>
          <w:tcPr>
            <w:tcW w:w="3375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3.Impact financiar, plus/minus, din care: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a) buget de stat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b) bugete locale</w:t>
            </w:r>
          </w:p>
        </w:tc>
        <w:tc>
          <w:tcPr>
            <w:tcW w:w="7059" w:type="dxa"/>
            <w:gridSpan w:val="3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633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4. Propuneri pentru acoperirea </w:t>
            </w:r>
            <w:r w:rsidR="004F12D7" w:rsidRPr="004A6D81">
              <w:rPr>
                <w:rFonts w:ascii="Arial" w:hAnsi="Arial" w:cs="Arial"/>
                <w:bCs/>
                <w:sz w:val="24"/>
                <w:szCs w:val="24"/>
              </w:rPr>
              <w:t>creșterii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cheltuielilor bugetare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471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 Propuneri pentru a compensa reducerea veniturilor bugetare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1046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6. Calcule detaliate privind fundamentarea modificărilor 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veniturilor </w:t>
            </w:r>
            <w:r w:rsidR="004F12D7" w:rsidRPr="004A6D81">
              <w:rPr>
                <w:rFonts w:ascii="Arial" w:hAnsi="Arial" w:cs="Arial"/>
                <w:bCs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>/sau cheltuielilor bugetare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345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7. Alte </w:t>
            </w:r>
            <w:r w:rsidR="004F12D7" w:rsidRPr="004A6D81">
              <w:rPr>
                <w:rFonts w:ascii="Arial" w:hAnsi="Arial" w:cs="Arial"/>
                <w:sz w:val="24"/>
                <w:szCs w:val="24"/>
              </w:rPr>
              <w:t>informații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:rsidR="00AA05E2" w:rsidRPr="004A6D81" w:rsidRDefault="00AA05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Plata contribuției voluntare a Ro</w:t>
            </w:r>
            <w:r w:rsidR="00265F53" w:rsidRPr="004A6D81">
              <w:rPr>
                <w:rFonts w:ascii="Arial" w:hAnsi="Arial" w:cs="Arial"/>
                <w:sz w:val="24"/>
                <w:szCs w:val="24"/>
              </w:rPr>
              <w:t>mâniei către O</w:t>
            </w:r>
            <w:r w:rsidR="00091BDD" w:rsidRPr="004A6D81">
              <w:rPr>
                <w:rFonts w:ascii="Arial" w:hAnsi="Arial" w:cs="Arial"/>
                <w:sz w:val="24"/>
                <w:szCs w:val="24"/>
              </w:rPr>
              <w:t>CDE</w:t>
            </w:r>
            <w:r w:rsidR="00265F53" w:rsidRPr="004A6D81">
              <w:rPr>
                <w:rFonts w:ascii="Arial" w:hAnsi="Arial" w:cs="Arial"/>
                <w:sz w:val="24"/>
                <w:szCs w:val="24"/>
              </w:rPr>
              <w:t xml:space="preserve"> pentru studiile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ce vizează analiza</w:t>
            </w:r>
            <w:r w:rsidR="00005D77" w:rsidRPr="004A6D81">
              <w:rPr>
                <w:rFonts w:ascii="Arial" w:hAnsi="Arial" w:cs="Arial"/>
                <w:spacing w:val="6"/>
                <w:sz w:val="24"/>
                <w:szCs w:val="24"/>
              </w:rPr>
              <w:t>aplicării</w:t>
            </w:r>
            <w:r w:rsidR="00F05F49" w:rsidRPr="004A6D81">
              <w:rPr>
                <w:rFonts w:ascii="Arial" w:hAnsi="Arial" w:cs="Arial"/>
                <w:sz w:val="24"/>
                <w:szCs w:val="24"/>
              </w:rPr>
              <w:t xml:space="preserve">principiilor guvernanței corporative a </w:t>
            </w:r>
            <w:r w:rsidR="00265F53" w:rsidRPr="004A6D81">
              <w:rPr>
                <w:rFonts w:ascii="Arial" w:hAnsi="Arial" w:cs="Arial"/>
                <w:sz w:val="24"/>
                <w:szCs w:val="24"/>
              </w:rPr>
              <w:t xml:space="preserve">întreprinderilor publice din </w:t>
            </w:r>
            <w:r w:rsidR="007A58E8" w:rsidRPr="004A6D81">
              <w:rPr>
                <w:rFonts w:ascii="Arial" w:hAnsi="Arial" w:cs="Arial"/>
                <w:sz w:val="24"/>
                <w:szCs w:val="24"/>
              </w:rPr>
              <w:t>România și analiz</w:t>
            </w:r>
            <w:r w:rsidR="00F957FA" w:rsidRPr="004A6D81">
              <w:rPr>
                <w:rFonts w:ascii="Arial" w:hAnsi="Arial" w:cs="Arial"/>
                <w:sz w:val="24"/>
                <w:szCs w:val="24"/>
              </w:rPr>
              <w:t>a</w:t>
            </w:r>
            <w:r w:rsidR="00F957F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situației </w:t>
            </w:r>
            <w:r w:rsidR="007A58E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Români</w:t>
            </w:r>
            <w:r w:rsidR="001A4253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ei</w:t>
            </w:r>
            <w:r w:rsidR="007A58E8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în </w:t>
            </w:r>
            <w:r w:rsidR="00F957FA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>cazul aplicării</w:t>
            </w:r>
            <w:r w:rsidR="00AC04B5" w:rsidRPr="004A6D81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</w:rPr>
              <w:t xml:space="preserve"> Codurilor OCDE de liberalizare a mișcărilor de capital și a operațiunilor curente invizibile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se face cu încadrarea în sumele </w:t>
            </w:r>
            <w:r w:rsidR="007A58E8" w:rsidRPr="00AA5262">
              <w:rPr>
                <w:rFonts w:ascii="Arial" w:hAnsi="Arial" w:cs="Arial"/>
                <w:sz w:val="24"/>
                <w:szCs w:val="24"/>
              </w:rPr>
              <w:t>aprobate în anul 2021</w:t>
            </w:r>
            <w:r w:rsidRPr="00AA5262">
              <w:rPr>
                <w:rFonts w:ascii="Arial" w:hAnsi="Arial" w:cs="Arial"/>
                <w:sz w:val="24"/>
                <w:szCs w:val="24"/>
              </w:rPr>
              <w:t xml:space="preserve"> în 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bugetul </w:t>
            </w:r>
            <w:r w:rsidR="00265F53" w:rsidRPr="004A6D81">
              <w:rPr>
                <w:rFonts w:ascii="Arial" w:hAnsi="Arial" w:cs="Arial"/>
                <w:sz w:val="24"/>
                <w:szCs w:val="24"/>
              </w:rPr>
              <w:t>Ministerului Afacerilor Externe</w:t>
            </w:r>
            <w:r w:rsidR="00F957FA" w:rsidRPr="004A6D81">
              <w:rPr>
                <w:rFonts w:ascii="Arial" w:hAnsi="Arial" w:cs="Arial"/>
                <w:sz w:val="24"/>
                <w:szCs w:val="24"/>
              </w:rPr>
              <w:t>privind promovarea candidaturii României la OCDE.</w:t>
            </w:r>
          </w:p>
        </w:tc>
      </w:tr>
      <w:tr w:rsidR="00AA05E2" w:rsidRPr="004A6D81" w:rsidTr="00D74D43">
        <w:trPr>
          <w:trHeight w:val="352"/>
        </w:trPr>
        <w:tc>
          <w:tcPr>
            <w:tcW w:w="104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0044" w:rsidRPr="004A6D81" w:rsidRDefault="004F12D7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Secțiunea</w:t>
            </w:r>
            <w:r w:rsidR="00AA05E2"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 5-a </w:t>
            </w:r>
          </w:p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Efectele proiectului de act normativ asupra </w:t>
            </w:r>
            <w:r w:rsidR="004F12D7" w:rsidRPr="004A6D81">
              <w:rPr>
                <w:rFonts w:ascii="Arial" w:hAnsi="Arial" w:cs="Arial"/>
                <w:bCs/>
                <w:sz w:val="24"/>
                <w:szCs w:val="24"/>
              </w:rPr>
              <w:t>legislației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în vigoare</w:t>
            </w:r>
          </w:p>
        </w:tc>
      </w:tr>
      <w:tr w:rsidR="00AA05E2" w:rsidRPr="004A6D81" w:rsidTr="00AA5262">
        <w:trPr>
          <w:trHeight w:val="829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5E2" w:rsidRPr="004A6D81" w:rsidRDefault="00AA05E2" w:rsidP="00F31D9C">
            <w:pPr>
              <w:tabs>
                <w:tab w:val="left" w:pos="1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iCs/>
                <w:sz w:val="24"/>
                <w:szCs w:val="24"/>
              </w:rPr>
              <w:t>1.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Măsuri normative necesare pentru aplicarea prevederilor proiectului de act normativ: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     a) acte normative în vigoare ce vor fi modificate sau abrogate, ca urmare a intrării în vigoare a proiectului de act normativ;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 xml:space="preserve">      b) acte normative ce urmează a fi elaborate în vederea implementării noilor </w:t>
            </w:r>
            <w:r w:rsidR="00E077C8" w:rsidRPr="004A6D81">
              <w:rPr>
                <w:rFonts w:ascii="Arial" w:hAnsi="Arial" w:cs="Arial"/>
                <w:sz w:val="24"/>
                <w:szCs w:val="24"/>
              </w:rPr>
              <w:t>dispoziții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545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AA52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31D9C" w:rsidRPr="004A6D8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31D9C" w:rsidRPr="004A6D8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Compatibilitatea proiectului de                                    act normativ cu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legislația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în domeniul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achizițiilor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publice 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</w:pP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</w:t>
            </w:r>
          </w:p>
        </w:tc>
      </w:tr>
      <w:tr w:rsidR="00AA05E2" w:rsidRPr="004A6D81" w:rsidTr="00AA5262">
        <w:trPr>
          <w:trHeight w:val="862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Conformitatea proiectului de act normativ cu </w:t>
            </w:r>
            <w:r w:rsidR="00E077C8" w:rsidRPr="004A6D81">
              <w:rPr>
                <w:rFonts w:ascii="Arial" w:hAnsi="Arial" w:cs="Arial"/>
                <w:sz w:val="24"/>
                <w:szCs w:val="24"/>
              </w:rPr>
              <w:t>legislația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comunitară în cazul proiectelor ce transpun prevederi comunitare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pStyle w:val="TableText"/>
              <w:ind w:firstLine="444"/>
              <w:jc w:val="both"/>
              <w:rPr>
                <w:rFonts w:ascii="Arial" w:eastAsia="Arial" w:hAnsi="Arial" w:cs="Arial"/>
                <w:bCs/>
                <w:color w:val="000000"/>
                <w:lang w:val="ro-RO" w:eastAsia="ro-RO"/>
              </w:rPr>
            </w:pPr>
          </w:p>
          <w:p w:rsidR="00AA05E2" w:rsidRPr="004A6D81" w:rsidRDefault="00AA05E2" w:rsidP="003437B5">
            <w:pPr>
              <w:jc w:val="both"/>
            </w:pP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</w:t>
            </w:r>
          </w:p>
        </w:tc>
      </w:tr>
      <w:tr w:rsidR="00AA05E2" w:rsidRPr="004A6D81" w:rsidTr="00AA5262">
        <w:trPr>
          <w:trHeight w:val="675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Pr="004A6D81">
              <w:rPr>
                <w:rFonts w:ascii="Arial" w:hAnsi="Arial" w:cs="Arial"/>
                <w:sz w:val="24"/>
                <w:szCs w:val="24"/>
              </w:rPr>
              <w:t>Măsuri normative necesare aplicării directe a actelor normative comunitare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</w:pP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</w:t>
            </w:r>
          </w:p>
        </w:tc>
      </w:tr>
      <w:tr w:rsidR="00AA05E2" w:rsidRPr="004A6D81" w:rsidTr="00AA5262">
        <w:trPr>
          <w:trHeight w:val="446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Hotărâri ale </w:t>
            </w:r>
            <w:r w:rsidR="00E077C8" w:rsidRPr="004A6D81">
              <w:rPr>
                <w:rFonts w:ascii="Arial" w:hAnsi="Arial" w:cs="Arial"/>
                <w:sz w:val="24"/>
                <w:szCs w:val="24"/>
              </w:rPr>
              <w:t>Curții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E077C8" w:rsidRPr="004A6D81">
              <w:rPr>
                <w:rFonts w:ascii="Arial" w:hAnsi="Arial" w:cs="Arial"/>
                <w:sz w:val="24"/>
                <w:szCs w:val="24"/>
              </w:rPr>
              <w:t>Justiție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a Uniunii Europene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</w:pP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</w:t>
            </w:r>
          </w:p>
        </w:tc>
      </w:tr>
      <w:tr w:rsidR="00AA05E2" w:rsidRPr="004A6D81" w:rsidTr="00AA5262">
        <w:trPr>
          <w:trHeight w:val="766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5. 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Alte acte normative </w:t>
            </w:r>
            <w:r w:rsidR="00E077C8" w:rsidRPr="004A6D81">
              <w:rPr>
                <w:rFonts w:ascii="Arial" w:hAnsi="Arial" w:cs="Arial"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/sau documente </w:t>
            </w:r>
            <w:r w:rsidR="00E077C8" w:rsidRPr="004A6D81">
              <w:rPr>
                <w:rFonts w:ascii="Arial" w:hAnsi="Arial" w:cs="Arial"/>
                <w:sz w:val="24"/>
                <w:szCs w:val="24"/>
              </w:rPr>
              <w:t>internaționale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 din care decurg angajamente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</w:pP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Proiectul de act normativ nu se referă la acest subiect</w:t>
            </w:r>
          </w:p>
        </w:tc>
      </w:tr>
      <w:tr w:rsidR="00AA05E2" w:rsidRPr="004A6D81" w:rsidTr="00AA5262">
        <w:trPr>
          <w:trHeight w:val="426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6. </w:t>
            </w:r>
            <w:r w:rsidRPr="004A6D81">
              <w:rPr>
                <w:rFonts w:ascii="Arial" w:hAnsi="Arial" w:cs="Arial"/>
                <w:sz w:val="24"/>
                <w:szCs w:val="24"/>
              </w:rPr>
              <w:t xml:space="preserve">Alte </w:t>
            </w:r>
            <w:r w:rsidR="00E077C8" w:rsidRPr="004A6D81">
              <w:rPr>
                <w:rFonts w:ascii="Arial" w:hAnsi="Arial" w:cs="Arial"/>
                <w:sz w:val="24"/>
                <w:szCs w:val="24"/>
              </w:rPr>
              <w:t>informații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ind w:right="72"/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A05E2" w:rsidRPr="004A6D81" w:rsidTr="00D74D43">
        <w:trPr>
          <w:trHeight w:val="221"/>
        </w:trPr>
        <w:tc>
          <w:tcPr>
            <w:tcW w:w="104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6733F" w:rsidRPr="004A6D81" w:rsidRDefault="00E077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Secțiunea</w:t>
            </w:r>
            <w:r w:rsidR="00AA05E2"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 6-a</w:t>
            </w:r>
          </w:p>
          <w:p w:rsidR="00AA05E2" w:rsidRPr="004A6D81" w:rsidRDefault="00AA05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Consultările efectuate în vederea elaborării proiectului de act normativ</w:t>
            </w:r>
          </w:p>
        </w:tc>
      </w:tr>
      <w:tr w:rsidR="00AA05E2" w:rsidRPr="004A6D81" w:rsidTr="00AA5262">
        <w:trPr>
          <w:trHeight w:val="557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Informatii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privind procesul de consultare cu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organizații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neguvernamentale, institute 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de cercetare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alte organisme implicate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928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2.Fundamentarea alegerii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organizațiilor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cu care a avut loc consultarea, precum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 modului în care activitatea acestor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organizații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este legată de obiectul proiectului de act normativ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_DdeLink__1639_723786376"/>
            <w:bookmarkEnd w:id="1"/>
            <w:r w:rsidRPr="004A6D81">
              <w:rPr>
                <w:rFonts w:ascii="Arial" w:hAnsi="Arial" w:cs="Arial"/>
                <w:sz w:val="24"/>
                <w:szCs w:val="24"/>
              </w:rPr>
              <w:t>Proiectul de act normativ nu se referă la acest subiect.</w:t>
            </w:r>
          </w:p>
          <w:p w:rsidR="00AA05E2" w:rsidRPr="004A6D81" w:rsidRDefault="00AA05E2" w:rsidP="003437B5">
            <w:pPr>
              <w:ind w:left="-28"/>
              <w:jc w:val="both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A05E2" w:rsidRPr="004A6D81" w:rsidTr="00AA5262">
        <w:trPr>
          <w:trHeight w:val="1948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3.Consultările organizate cu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autoritățileadministrației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publice locale, în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situația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în care proiectul de act normativ are ca obiect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activități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ale acestor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autorități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, în </w:t>
            </w:r>
            <w:r w:rsidR="00E077C8" w:rsidRPr="004A6D81">
              <w:rPr>
                <w:rFonts w:ascii="Arial" w:hAnsi="Arial" w:cs="Arial"/>
                <w:bCs/>
                <w:sz w:val="24"/>
                <w:szCs w:val="24"/>
              </w:rPr>
              <w:t>condițiile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Hotărârii Guvernului nr. 521/2005 privind procedura de consultare a structurilor asociative ale </w:t>
            </w:r>
            <w:r w:rsidR="002E41BE" w:rsidRPr="004A6D81">
              <w:rPr>
                <w:rFonts w:ascii="Arial" w:hAnsi="Arial" w:cs="Arial"/>
                <w:bCs/>
                <w:sz w:val="24"/>
                <w:szCs w:val="24"/>
              </w:rPr>
              <w:t>autoritățiloradministrației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publice locale la elaborarea proiectelor de acte normative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Proiectul de act normativ nu se referă la acest subiect.</w:t>
            </w:r>
          </w:p>
          <w:p w:rsidR="00AA05E2" w:rsidRPr="004A6D81" w:rsidRDefault="00AA05E2" w:rsidP="003437B5">
            <w:pPr>
              <w:pStyle w:val="DefaultText"/>
              <w:ind w:firstLine="318"/>
              <w:jc w:val="both"/>
              <w:rPr>
                <w:rFonts w:ascii="Arial" w:eastAsia="Arial" w:hAnsi="Arial" w:cs="Arial"/>
                <w:bCs/>
                <w:color w:val="000000"/>
                <w:lang w:val="ro-RO" w:eastAsia="ro-RO"/>
              </w:rPr>
            </w:pPr>
          </w:p>
        </w:tc>
      </w:tr>
      <w:tr w:rsidR="00AA05E2" w:rsidRPr="004A6D81" w:rsidTr="00AA5262">
        <w:trPr>
          <w:trHeight w:val="274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4.Consultările </w:t>
            </w:r>
            <w:r w:rsidR="002E41BE" w:rsidRPr="004A6D81">
              <w:rPr>
                <w:rFonts w:ascii="Arial" w:hAnsi="Arial" w:cs="Arial"/>
                <w:bCs/>
                <w:sz w:val="24"/>
                <w:szCs w:val="24"/>
              </w:rPr>
              <w:t>desfășurate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ind w:left="-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Proiectul de act normativ nu se referă la acest subiect.</w:t>
            </w:r>
          </w:p>
        </w:tc>
      </w:tr>
      <w:tr w:rsidR="00AA05E2" w:rsidRPr="004A6D81" w:rsidTr="00AA5262">
        <w:trPr>
          <w:trHeight w:val="495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="002E41BE" w:rsidRPr="004A6D81">
              <w:rPr>
                <w:rFonts w:ascii="Arial" w:hAnsi="Arial" w:cs="Arial"/>
                <w:bCs/>
                <w:sz w:val="24"/>
                <w:szCs w:val="24"/>
              </w:rPr>
              <w:t>Informatii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privind avizarea de către: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a) Consiliul Legislativ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b) Consiliul Suprem de Apărare a </w:t>
            </w:r>
            <w:r w:rsidR="002E41BE" w:rsidRPr="004A6D81">
              <w:rPr>
                <w:rFonts w:ascii="Arial" w:hAnsi="Arial" w:cs="Arial"/>
                <w:bCs/>
                <w:sz w:val="24"/>
                <w:szCs w:val="24"/>
              </w:rPr>
              <w:t>Țării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c) Consiliul Economic </w:t>
            </w:r>
            <w:r w:rsidR="00454016" w:rsidRPr="004A6D81">
              <w:rPr>
                <w:rFonts w:ascii="Arial" w:hAnsi="Arial" w:cs="Arial"/>
                <w:bCs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Social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d) Consiliul </w:t>
            </w:r>
            <w:r w:rsidR="00454016" w:rsidRPr="004A6D81">
              <w:rPr>
                <w:rFonts w:ascii="Arial" w:hAnsi="Arial" w:cs="Arial"/>
                <w:bCs/>
                <w:sz w:val="24"/>
                <w:szCs w:val="24"/>
              </w:rPr>
              <w:t>Concurenței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e) Curtea de conturi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AA5262">
            <w:pPr>
              <w:jc w:val="both"/>
            </w:pPr>
            <w:r w:rsidRPr="00AA5262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Proiectul se supune</w:t>
            </w: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 xml:space="preserve"> avizul</w:t>
            </w:r>
            <w:r w:rsidRPr="00AA5262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ui</w:t>
            </w: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 xml:space="preserve"> Consiliului Legislativ asupra proiectului de act normativ.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AA5262">
        <w:trPr>
          <w:trHeight w:val="276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6. Alte </w:t>
            </w:r>
            <w:r w:rsidR="00454016" w:rsidRPr="004A6D81">
              <w:rPr>
                <w:rFonts w:ascii="Arial" w:hAnsi="Arial" w:cs="Arial"/>
                <w:bCs/>
                <w:sz w:val="24"/>
                <w:szCs w:val="24"/>
              </w:rPr>
              <w:t>informații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5E2" w:rsidRPr="004A6D81" w:rsidTr="00D74D43">
        <w:trPr>
          <w:trHeight w:val="303"/>
        </w:trPr>
        <w:tc>
          <w:tcPr>
            <w:tcW w:w="104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6733F" w:rsidRPr="004A6D81" w:rsidRDefault="00454016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Secțiunea</w:t>
            </w:r>
            <w:r w:rsidR="00AA05E2"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 7-a </w:t>
            </w:r>
          </w:p>
          <w:p w:rsidR="00AA05E2" w:rsidRPr="004A6D81" w:rsidRDefault="00454016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Activități</w:t>
            </w:r>
            <w:r w:rsidR="00AA05E2" w:rsidRPr="004A6D81">
              <w:rPr>
                <w:rFonts w:ascii="Arial" w:hAnsi="Arial" w:cs="Arial"/>
                <w:bCs/>
                <w:sz w:val="24"/>
                <w:szCs w:val="24"/>
              </w:rPr>
              <w:t xml:space="preserve"> de informare publică privind elaborarea 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>și</w:t>
            </w:r>
            <w:r w:rsidR="00AA05E2" w:rsidRPr="004A6D81">
              <w:rPr>
                <w:rFonts w:ascii="Arial" w:hAnsi="Arial" w:cs="Arial"/>
                <w:bCs/>
                <w:sz w:val="24"/>
                <w:szCs w:val="24"/>
              </w:rPr>
              <w:t xml:space="preserve"> implementarea proiectului de act normativ</w:t>
            </w:r>
          </w:p>
        </w:tc>
      </w:tr>
      <w:tr w:rsidR="00AA05E2" w:rsidRPr="004A6D81" w:rsidTr="00AA5262">
        <w:trPr>
          <w:trHeight w:val="1591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1.Informarea </w:t>
            </w:r>
            <w:r w:rsidR="00454016" w:rsidRPr="004A6D81">
              <w:rPr>
                <w:rFonts w:ascii="Arial" w:hAnsi="Arial" w:cs="Arial"/>
                <w:bCs/>
                <w:sz w:val="24"/>
                <w:szCs w:val="24"/>
              </w:rPr>
              <w:t>societății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civile cu privire la necesitatea elaborării proiectului de act normativ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/>
                <w:sz w:val="24"/>
                <w:szCs w:val="24"/>
              </w:rPr>
              <w:t>Proiectul a fost afișat pe pagina de internet a</w:t>
            </w:r>
            <w:r w:rsidR="00265F53" w:rsidRPr="004A6D81">
              <w:rPr>
                <w:rFonts w:ascii="Arial" w:hAnsi="Arial"/>
                <w:sz w:val="24"/>
                <w:szCs w:val="24"/>
              </w:rPr>
              <w:t xml:space="preserve"> Ministerului Finanțelor și a Ministerului Afacerilor Externe</w:t>
            </w:r>
            <w:r w:rsidRPr="004A6D81">
              <w:rPr>
                <w:rFonts w:ascii="Arial" w:hAnsi="Arial"/>
                <w:sz w:val="24"/>
                <w:szCs w:val="24"/>
              </w:rPr>
              <w:t>.</w:t>
            </w: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A05E2" w:rsidRPr="004A6D81" w:rsidRDefault="00AA05E2" w:rsidP="003437B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05E2" w:rsidRPr="004A6D81" w:rsidTr="00AA5262">
        <w:trPr>
          <w:trHeight w:val="407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7D40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7D40DE" w:rsidRPr="008E58E3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Informarea societății civile cu privire la eventualul impact asupra mediului în urma implementării proiectului de act normativ, precum și efectele </w:t>
            </w:r>
            <w:r w:rsidR="007D40DE" w:rsidRPr="008E58E3">
              <w:rPr>
                <w:rFonts w:ascii="Arial" w:hAnsi="Arial" w:cs="Arial"/>
                <w:bCs/>
                <w:spacing w:val="-2"/>
                <w:sz w:val="24"/>
                <w:szCs w:val="24"/>
              </w:rPr>
              <w:lastRenderedPageBreak/>
              <w:t>asupra sănătății și securității cetățenilor sau diversității biologice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lastRenderedPageBreak/>
              <w:t>Proiectul de act normativ nu se referă la acest subiect.</w:t>
            </w:r>
          </w:p>
        </w:tc>
      </w:tr>
      <w:tr w:rsidR="00AA05E2" w:rsidRPr="004A6D81" w:rsidTr="00AA5262">
        <w:trPr>
          <w:trHeight w:val="281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3.Alte </w:t>
            </w:r>
            <w:r w:rsidR="003359A8" w:rsidRPr="004A6D81">
              <w:rPr>
                <w:rFonts w:ascii="Arial" w:hAnsi="Arial" w:cs="Arial"/>
                <w:bCs/>
                <w:sz w:val="24"/>
                <w:szCs w:val="24"/>
              </w:rPr>
              <w:t>informații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Nu este cazul.</w:t>
            </w:r>
          </w:p>
        </w:tc>
      </w:tr>
      <w:tr w:rsidR="00AA05E2" w:rsidRPr="004A6D81" w:rsidTr="00D74D43">
        <w:trPr>
          <w:trHeight w:val="360"/>
        </w:trPr>
        <w:tc>
          <w:tcPr>
            <w:tcW w:w="104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1D9C" w:rsidRPr="004A6D81" w:rsidRDefault="004D3121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Secțiunea</w:t>
            </w:r>
            <w:r w:rsidR="00AA05E2" w:rsidRPr="004A6D81">
              <w:rPr>
                <w:rFonts w:ascii="Arial" w:hAnsi="Arial" w:cs="Arial"/>
                <w:bCs/>
                <w:sz w:val="24"/>
                <w:szCs w:val="24"/>
              </w:rPr>
              <w:t xml:space="preserve"> a 8-a </w:t>
            </w:r>
          </w:p>
          <w:p w:rsidR="00AA05E2" w:rsidRPr="004A6D81" w:rsidRDefault="00AA05E2" w:rsidP="003437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>Măsuri de implementare</w:t>
            </w:r>
          </w:p>
        </w:tc>
      </w:tr>
      <w:tr w:rsidR="00AA05E2" w:rsidRPr="004A6D81" w:rsidTr="00AA5262">
        <w:trPr>
          <w:trHeight w:val="985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1.Măsurile de punere în aplicare a proiectului de act normativ de către </w:t>
            </w:r>
            <w:r w:rsidR="004D3121" w:rsidRPr="004A6D81">
              <w:rPr>
                <w:rFonts w:ascii="Arial" w:hAnsi="Arial" w:cs="Arial"/>
                <w:bCs/>
                <w:sz w:val="24"/>
                <w:szCs w:val="24"/>
              </w:rPr>
              <w:t>autoritățileadministrației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publice centrale </w:t>
            </w:r>
            <w:r w:rsidR="00966FBA" w:rsidRPr="004A6D81">
              <w:rPr>
                <w:rFonts w:ascii="Arial" w:hAnsi="Arial" w:cs="Arial"/>
                <w:bCs/>
                <w:sz w:val="24"/>
                <w:szCs w:val="24"/>
              </w:rPr>
              <w:t>și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/sau locale – </w:t>
            </w:r>
            <w:r w:rsidR="00966FBA" w:rsidRPr="004A6D81">
              <w:rPr>
                <w:rFonts w:ascii="Arial" w:hAnsi="Arial" w:cs="Arial"/>
                <w:bCs/>
                <w:sz w:val="24"/>
                <w:szCs w:val="24"/>
              </w:rPr>
              <w:t>înființarea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unor noi organisme sau extinderea </w:t>
            </w:r>
            <w:r w:rsidR="00966FBA" w:rsidRPr="004A6D81">
              <w:rPr>
                <w:rFonts w:ascii="Arial" w:hAnsi="Arial" w:cs="Arial"/>
                <w:bCs/>
                <w:sz w:val="24"/>
                <w:szCs w:val="24"/>
              </w:rPr>
              <w:t>competențelorinstituțiilor</w:t>
            </w: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 existente.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81">
              <w:rPr>
                <w:rFonts w:ascii="Arial" w:hAnsi="Arial" w:cs="Arial"/>
                <w:sz w:val="24"/>
                <w:szCs w:val="24"/>
              </w:rPr>
              <w:t>Proiectul de act normativ nu se referă la acest subiect.</w:t>
            </w:r>
          </w:p>
          <w:p w:rsidR="00AA05E2" w:rsidRPr="004A6D81" w:rsidRDefault="00AA05E2" w:rsidP="003437B5">
            <w:pP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AA05E2" w:rsidRPr="004A6D81" w:rsidTr="00AA5262">
        <w:trPr>
          <w:trHeight w:val="400"/>
        </w:trPr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81">
              <w:rPr>
                <w:rFonts w:ascii="Arial" w:hAnsi="Arial" w:cs="Arial"/>
                <w:bCs/>
                <w:sz w:val="24"/>
                <w:szCs w:val="24"/>
              </w:rPr>
              <w:t xml:space="preserve">2. Alte </w:t>
            </w:r>
            <w:r w:rsidR="00966FBA" w:rsidRPr="004A6D81">
              <w:rPr>
                <w:rFonts w:ascii="Arial" w:hAnsi="Arial" w:cs="Arial"/>
                <w:bCs/>
                <w:sz w:val="24"/>
                <w:szCs w:val="24"/>
              </w:rPr>
              <w:t>informații</w:t>
            </w:r>
          </w:p>
        </w:tc>
        <w:tc>
          <w:tcPr>
            <w:tcW w:w="70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05E2" w:rsidRPr="004A6D81" w:rsidRDefault="00AA05E2" w:rsidP="003437B5">
            <w:pP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</w:pPr>
            <w:r w:rsidRPr="004A6D81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o-RO"/>
              </w:rPr>
              <w:t>Nu este cazul.</w:t>
            </w:r>
          </w:p>
        </w:tc>
      </w:tr>
    </w:tbl>
    <w:p w:rsidR="00D74D43" w:rsidRPr="004A6D81" w:rsidRDefault="00D74D43" w:rsidP="00AA05E2">
      <w:pPr>
        <w:jc w:val="both"/>
        <w:rPr>
          <w:rFonts w:ascii="Arial" w:hAnsi="Arial" w:cs="Arial"/>
          <w:spacing w:val="6"/>
          <w:sz w:val="24"/>
          <w:szCs w:val="24"/>
        </w:rPr>
      </w:pPr>
    </w:p>
    <w:p w:rsidR="00AC04B5" w:rsidRPr="004A6D81" w:rsidRDefault="00AA05E2" w:rsidP="00D74D43">
      <w:pPr>
        <w:ind w:left="-540"/>
        <w:jc w:val="both"/>
        <w:rPr>
          <w:rFonts w:ascii="Arial" w:hAnsi="Arial" w:cs="Arial"/>
          <w:sz w:val="24"/>
          <w:szCs w:val="24"/>
        </w:rPr>
      </w:pPr>
      <w:r w:rsidRPr="004A6D81">
        <w:rPr>
          <w:rFonts w:ascii="Arial" w:hAnsi="Arial" w:cs="Arial"/>
          <w:spacing w:val="6"/>
          <w:sz w:val="24"/>
          <w:szCs w:val="24"/>
        </w:rPr>
        <w:t xml:space="preserve">Pentru considerentele de mai sus, supunem aprobării proiectul de </w:t>
      </w:r>
      <w:r w:rsidRPr="00AA5262">
        <w:rPr>
          <w:rFonts w:ascii="Arial" w:hAnsi="Arial" w:cs="Arial"/>
          <w:sz w:val="24"/>
          <w:szCs w:val="24"/>
        </w:rPr>
        <w:t>h</w:t>
      </w:r>
      <w:r w:rsidRPr="004A6D81">
        <w:rPr>
          <w:rFonts w:ascii="Arial" w:hAnsi="Arial" w:cs="Arial"/>
          <w:sz w:val="24"/>
          <w:szCs w:val="24"/>
        </w:rPr>
        <w:t xml:space="preserve">otărâre  </w:t>
      </w:r>
      <w:r w:rsidRPr="00AA5262">
        <w:rPr>
          <w:rFonts w:ascii="Arial" w:hAnsi="Arial" w:cs="Arial"/>
          <w:sz w:val="24"/>
          <w:szCs w:val="24"/>
        </w:rPr>
        <w:t>a</w:t>
      </w:r>
      <w:r w:rsidRPr="00AA5262">
        <w:rPr>
          <w:rFonts w:ascii="Arial" w:hAnsi="Arial" w:cs="Arial"/>
          <w:color w:val="000000"/>
          <w:sz w:val="24"/>
          <w:szCs w:val="24"/>
          <w:lang w:bidi="hi-IN"/>
        </w:rPr>
        <w:t>Guvernului</w:t>
      </w:r>
      <w:r w:rsidRPr="004A6D81">
        <w:rPr>
          <w:rFonts w:ascii="Arial" w:hAnsi="Arial" w:cs="Arial"/>
          <w:spacing w:val="6"/>
          <w:sz w:val="24"/>
          <w:szCs w:val="24"/>
        </w:rPr>
        <w:t>p</w:t>
      </w:r>
      <w:r w:rsidR="00F1593D">
        <w:rPr>
          <w:rFonts w:ascii="Arial" w:hAnsi="Arial" w:cs="Arial"/>
          <w:spacing w:val="6"/>
          <w:sz w:val="24"/>
          <w:szCs w:val="24"/>
        </w:rPr>
        <w:t>rivind</w:t>
      </w:r>
      <w:r w:rsidRPr="004A6D81">
        <w:rPr>
          <w:rFonts w:ascii="Arial" w:hAnsi="Arial" w:cs="Arial"/>
          <w:spacing w:val="6"/>
          <w:sz w:val="24"/>
          <w:szCs w:val="24"/>
        </w:rPr>
        <w:t xml:space="preserve"> aprobarea plății contribuți</w:t>
      </w:r>
      <w:r w:rsidR="00F1593D">
        <w:rPr>
          <w:rFonts w:ascii="Arial" w:hAnsi="Arial" w:cs="Arial"/>
          <w:spacing w:val="6"/>
          <w:sz w:val="24"/>
          <w:szCs w:val="24"/>
        </w:rPr>
        <w:t>ilor</w:t>
      </w:r>
      <w:r w:rsidRPr="004A6D81">
        <w:rPr>
          <w:rFonts w:ascii="Arial" w:hAnsi="Arial" w:cs="Arial"/>
          <w:spacing w:val="6"/>
          <w:sz w:val="24"/>
          <w:szCs w:val="24"/>
        </w:rPr>
        <w:t xml:space="preserve"> financiare voluntare a</w:t>
      </w:r>
      <w:r w:rsidR="00F1593D">
        <w:rPr>
          <w:rFonts w:ascii="Arial" w:hAnsi="Arial" w:cs="Arial"/>
          <w:spacing w:val="6"/>
          <w:sz w:val="24"/>
          <w:szCs w:val="24"/>
        </w:rPr>
        <w:t>le</w:t>
      </w:r>
      <w:r w:rsidRPr="004A6D81">
        <w:rPr>
          <w:rFonts w:ascii="Arial" w:hAnsi="Arial" w:cs="Arial"/>
          <w:spacing w:val="6"/>
          <w:sz w:val="24"/>
          <w:szCs w:val="24"/>
        </w:rPr>
        <w:t xml:space="preserve"> României la Organizația pentru Cooperare și Dezvoltare Economică (OCDE), în vederea finanțării</w:t>
      </w:r>
      <w:r w:rsidR="004A6D81">
        <w:rPr>
          <w:rFonts w:ascii="Arial" w:hAnsi="Arial" w:cs="Arial"/>
          <w:spacing w:val="6"/>
          <w:sz w:val="24"/>
          <w:szCs w:val="24"/>
        </w:rPr>
        <w:t xml:space="preserve">și realizării </w:t>
      </w:r>
      <w:r w:rsidR="00265F53" w:rsidRPr="004A6D81">
        <w:rPr>
          <w:rFonts w:ascii="Arial" w:hAnsi="Arial" w:cs="Arial"/>
          <w:spacing w:val="6"/>
          <w:sz w:val="24"/>
          <w:szCs w:val="24"/>
        </w:rPr>
        <w:t>activității OCDE pentru studiile</w:t>
      </w:r>
      <w:r w:rsidRPr="004A6D81">
        <w:rPr>
          <w:rFonts w:ascii="Arial" w:hAnsi="Arial" w:cs="Arial"/>
          <w:spacing w:val="6"/>
          <w:sz w:val="24"/>
          <w:szCs w:val="24"/>
        </w:rPr>
        <w:t xml:space="preserve"> ce vizează</w:t>
      </w:r>
      <w:r w:rsidR="00AC04B5" w:rsidRPr="004A6D81">
        <w:rPr>
          <w:rFonts w:ascii="Arial" w:hAnsi="Arial" w:cs="Arial"/>
          <w:spacing w:val="6"/>
          <w:sz w:val="24"/>
          <w:szCs w:val="24"/>
        </w:rPr>
        <w:t xml:space="preserve"> analiza</w:t>
      </w:r>
      <w:r w:rsidR="00005D77" w:rsidRPr="004A6D81">
        <w:rPr>
          <w:rFonts w:ascii="Arial" w:hAnsi="Arial" w:cs="Arial"/>
          <w:spacing w:val="6"/>
          <w:sz w:val="24"/>
          <w:szCs w:val="24"/>
        </w:rPr>
        <w:t>aplicării</w:t>
      </w:r>
      <w:r w:rsidR="00F05F49" w:rsidRPr="004A6D81">
        <w:rPr>
          <w:rFonts w:ascii="Arial" w:hAnsi="Arial" w:cs="Arial"/>
          <w:sz w:val="24"/>
          <w:szCs w:val="24"/>
        </w:rPr>
        <w:t>principiilor guvernanței corporative a</w:t>
      </w:r>
      <w:r w:rsidR="00AC04B5" w:rsidRPr="004A6D81">
        <w:rPr>
          <w:rFonts w:ascii="Arial" w:hAnsi="Arial" w:cs="Arial"/>
          <w:spacing w:val="6"/>
          <w:sz w:val="24"/>
          <w:szCs w:val="24"/>
        </w:rPr>
        <w:t>întreprinderilor</w:t>
      </w:r>
      <w:r w:rsidR="00265F53" w:rsidRPr="004A6D81">
        <w:rPr>
          <w:rFonts w:ascii="Arial" w:hAnsi="Arial" w:cs="Arial"/>
          <w:spacing w:val="6"/>
          <w:sz w:val="24"/>
          <w:szCs w:val="24"/>
        </w:rPr>
        <w:t xml:space="preserve"> publice din România și </w:t>
      </w:r>
      <w:r w:rsidR="00AC04B5" w:rsidRPr="004A6D81">
        <w:rPr>
          <w:rFonts w:ascii="Arial" w:hAnsi="Arial" w:cs="Arial"/>
          <w:spacing w:val="6"/>
          <w:sz w:val="24"/>
          <w:szCs w:val="24"/>
        </w:rPr>
        <w:t>analiza</w:t>
      </w:r>
      <w:r w:rsidR="00D04477" w:rsidRPr="004A6D81">
        <w:rPr>
          <w:rFonts w:ascii="Arial" w:eastAsia="Arial" w:hAnsi="Arial" w:cs="Arial"/>
          <w:bCs/>
          <w:iCs/>
          <w:color w:val="000000"/>
          <w:sz w:val="24"/>
          <w:szCs w:val="24"/>
        </w:rPr>
        <w:t>situației din</w:t>
      </w:r>
      <w:r w:rsidR="00AC04B5" w:rsidRPr="004A6D81">
        <w:rPr>
          <w:rFonts w:ascii="Arial" w:eastAsia="Arial" w:hAnsi="Arial" w:cs="Arial"/>
          <w:bCs/>
          <w:iCs/>
          <w:color w:val="000000"/>
          <w:sz w:val="24"/>
          <w:szCs w:val="24"/>
        </w:rPr>
        <w:t xml:space="preserve"> România </w:t>
      </w:r>
      <w:r w:rsidR="00D04477" w:rsidRPr="004A6D81">
        <w:rPr>
          <w:rFonts w:ascii="Arial" w:eastAsia="Arial" w:hAnsi="Arial" w:cs="Arial"/>
          <w:bCs/>
          <w:iCs/>
          <w:color w:val="000000"/>
          <w:sz w:val="24"/>
          <w:szCs w:val="24"/>
        </w:rPr>
        <w:t xml:space="preserve">privind aplicarea </w:t>
      </w:r>
      <w:r w:rsidR="00AC04B5" w:rsidRPr="004A6D81">
        <w:rPr>
          <w:rFonts w:ascii="Arial" w:eastAsia="Arial" w:hAnsi="Arial" w:cs="Arial"/>
          <w:bCs/>
          <w:iCs/>
          <w:color w:val="000000"/>
          <w:sz w:val="24"/>
          <w:szCs w:val="24"/>
        </w:rPr>
        <w:t>Coduril</w:t>
      </w:r>
      <w:r w:rsidR="00F1593D">
        <w:rPr>
          <w:rFonts w:ascii="Arial" w:eastAsia="Arial" w:hAnsi="Arial" w:cs="Arial"/>
          <w:bCs/>
          <w:iCs/>
          <w:color w:val="000000"/>
          <w:sz w:val="24"/>
          <w:szCs w:val="24"/>
        </w:rPr>
        <w:t>or</w:t>
      </w:r>
      <w:r w:rsidR="00AC04B5" w:rsidRPr="004A6D81">
        <w:rPr>
          <w:rFonts w:ascii="Arial" w:eastAsia="Arial" w:hAnsi="Arial" w:cs="Arial"/>
          <w:bCs/>
          <w:iCs/>
          <w:color w:val="000000"/>
          <w:sz w:val="24"/>
          <w:szCs w:val="24"/>
        </w:rPr>
        <w:t xml:space="preserve"> OCDE de liberalizare a mișcărilor de capital și a operațiunilor curente invizibile</w:t>
      </w:r>
      <w:r w:rsidR="00AC04B5" w:rsidRPr="004A6D81">
        <w:rPr>
          <w:rFonts w:ascii="Arial" w:hAnsi="Arial" w:cs="Arial"/>
          <w:sz w:val="24"/>
          <w:szCs w:val="24"/>
        </w:rPr>
        <w:t>.</w:t>
      </w:r>
    </w:p>
    <w:p w:rsidR="00AC04B5" w:rsidRPr="004A6D81" w:rsidRDefault="00AC04B5" w:rsidP="00AA05E2">
      <w:pPr>
        <w:jc w:val="both"/>
        <w:rPr>
          <w:rFonts w:ascii="Arial" w:hAnsi="Arial" w:cs="Arial"/>
          <w:sz w:val="24"/>
          <w:szCs w:val="24"/>
        </w:rPr>
      </w:pPr>
    </w:p>
    <w:p w:rsidR="00D74D43" w:rsidRPr="004A6D81" w:rsidRDefault="00D74D43" w:rsidP="00AA05E2">
      <w:pPr>
        <w:jc w:val="both"/>
        <w:rPr>
          <w:rFonts w:ascii="Arial" w:hAnsi="Arial" w:cs="Arial"/>
          <w:sz w:val="24"/>
          <w:szCs w:val="24"/>
        </w:rPr>
      </w:pPr>
    </w:p>
    <w:p w:rsidR="005F11DC" w:rsidRPr="004A6D81" w:rsidRDefault="00AA05E2" w:rsidP="005F11DC">
      <w:pPr>
        <w:jc w:val="both"/>
        <w:rPr>
          <w:rFonts w:ascii="Arial" w:eastAsia="Arial" w:hAnsi="Arial" w:cs="Arial"/>
          <w:sz w:val="22"/>
          <w:szCs w:val="22"/>
        </w:rPr>
      </w:pPr>
      <w:r w:rsidRPr="004A6D81">
        <w:rPr>
          <w:rFonts w:ascii="Arial" w:hAnsi="Arial" w:cs="Arial"/>
          <w:sz w:val="24"/>
          <w:szCs w:val="24"/>
        </w:rPr>
        <w:tab/>
      </w:r>
    </w:p>
    <w:p w:rsidR="008544B7" w:rsidRDefault="00265F53" w:rsidP="00AA5262">
      <w:pPr>
        <w:tabs>
          <w:tab w:val="left" w:pos="5387"/>
        </w:tabs>
        <w:spacing w:line="360" w:lineRule="auto"/>
        <w:ind w:left="284" w:hanging="224"/>
        <w:jc w:val="both"/>
        <w:rPr>
          <w:rFonts w:ascii="Arial" w:hAnsi="Arial" w:cs="Arial"/>
          <w:b/>
          <w:spacing w:val="6"/>
          <w:sz w:val="24"/>
          <w:szCs w:val="24"/>
        </w:rPr>
      </w:pPr>
      <w:r w:rsidRPr="004A6D81">
        <w:rPr>
          <w:rFonts w:ascii="Arial" w:hAnsi="Arial" w:cs="Arial"/>
          <w:b/>
          <w:sz w:val="24"/>
          <w:szCs w:val="24"/>
        </w:rPr>
        <w:t>MINISTRUL FINANŢELOR</w:t>
      </w:r>
      <w:r w:rsidR="008544B7">
        <w:rPr>
          <w:rFonts w:ascii="Arial" w:hAnsi="Arial" w:cs="Arial"/>
          <w:b/>
          <w:sz w:val="24"/>
          <w:szCs w:val="24"/>
        </w:rPr>
        <w:t xml:space="preserve">                  </w:t>
      </w:r>
      <w:r w:rsidR="005F11DC" w:rsidRPr="004A6D81">
        <w:rPr>
          <w:rFonts w:ascii="Arial" w:hAnsi="Arial" w:cs="Arial"/>
          <w:b/>
          <w:spacing w:val="6"/>
          <w:sz w:val="24"/>
          <w:szCs w:val="24"/>
        </w:rPr>
        <w:t>MINISTRUL AFACERILOR EXTERNE</w:t>
      </w:r>
      <w:r w:rsidR="008544B7">
        <w:rPr>
          <w:rFonts w:ascii="Arial" w:hAnsi="Arial" w:cs="Arial"/>
          <w:b/>
          <w:spacing w:val="6"/>
          <w:sz w:val="24"/>
          <w:szCs w:val="24"/>
        </w:rPr>
        <w:t xml:space="preserve"> </w:t>
      </w:r>
    </w:p>
    <w:p w:rsidR="005F11DC" w:rsidRPr="004A6D81" w:rsidRDefault="008544B7" w:rsidP="00AA5262">
      <w:pPr>
        <w:tabs>
          <w:tab w:val="left" w:pos="5387"/>
        </w:tabs>
        <w:spacing w:line="360" w:lineRule="auto"/>
        <w:ind w:left="284" w:hanging="22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6"/>
          <w:sz w:val="24"/>
          <w:szCs w:val="24"/>
        </w:rPr>
        <w:t xml:space="preserve">   </w:t>
      </w:r>
      <w:r w:rsidR="00265F53" w:rsidRPr="004A6D81">
        <w:rPr>
          <w:rFonts w:ascii="Arial" w:hAnsi="Arial" w:cs="Arial"/>
          <w:b/>
          <w:spacing w:val="6"/>
          <w:sz w:val="24"/>
          <w:szCs w:val="24"/>
        </w:rPr>
        <w:t>Alexandru NAZARE</w:t>
      </w:r>
      <w:r>
        <w:rPr>
          <w:rFonts w:ascii="Arial" w:hAnsi="Arial" w:cs="Arial"/>
          <w:b/>
          <w:spacing w:val="6"/>
          <w:sz w:val="24"/>
          <w:szCs w:val="24"/>
        </w:rPr>
        <w:t xml:space="preserve">                                     </w:t>
      </w:r>
      <w:r w:rsidR="005F11DC" w:rsidRPr="004A6D81">
        <w:rPr>
          <w:rFonts w:ascii="Arial" w:hAnsi="Arial" w:cs="Arial"/>
          <w:b/>
          <w:spacing w:val="6"/>
          <w:sz w:val="24"/>
          <w:szCs w:val="24"/>
        </w:rPr>
        <w:t>Bogdan AURESCU</w:t>
      </w:r>
    </w:p>
    <w:p w:rsidR="00AA05E2" w:rsidRPr="004A6D81" w:rsidRDefault="00AA05E2" w:rsidP="00AA05E2">
      <w:pPr>
        <w:shd w:val="clear" w:color="auto" w:fill="FFFFFF"/>
        <w:spacing w:before="120"/>
        <w:ind w:right="-2"/>
        <w:jc w:val="center"/>
      </w:pPr>
    </w:p>
    <w:p w:rsidR="00AA05E2" w:rsidRPr="004A6D81" w:rsidRDefault="00AA05E2" w:rsidP="00AA05E2">
      <w:pPr>
        <w:shd w:val="clear" w:color="auto" w:fill="FFFFFF"/>
        <w:ind w:right="-295"/>
        <w:rPr>
          <w:rFonts w:ascii="Arial" w:hAnsi="Arial" w:cs="Arial"/>
          <w:spacing w:val="6"/>
          <w:sz w:val="24"/>
          <w:szCs w:val="24"/>
        </w:rPr>
      </w:pPr>
    </w:p>
    <w:p w:rsidR="00AA05E2" w:rsidRDefault="00AA05E2" w:rsidP="00AA05E2">
      <w:pPr>
        <w:shd w:val="clear" w:color="auto" w:fill="FFFFFF"/>
        <w:ind w:right="-295"/>
        <w:jc w:val="center"/>
        <w:rPr>
          <w:rFonts w:ascii="Arial" w:hAnsi="Arial" w:cs="Arial"/>
          <w:color w:val="FF0000"/>
          <w:spacing w:val="6"/>
          <w:sz w:val="24"/>
          <w:szCs w:val="24"/>
        </w:rPr>
      </w:pPr>
    </w:p>
    <w:p w:rsidR="00813959" w:rsidRPr="004A6D81" w:rsidRDefault="00813959" w:rsidP="00AC04B5">
      <w:pPr>
        <w:shd w:val="clear" w:color="auto" w:fill="FFFFFF"/>
        <w:ind w:right="-295"/>
        <w:jc w:val="center"/>
        <w:rPr>
          <w:rFonts w:ascii="Arial" w:hAnsi="Arial" w:cs="Arial"/>
          <w:b/>
          <w:sz w:val="24"/>
          <w:szCs w:val="24"/>
        </w:rPr>
      </w:pPr>
    </w:p>
    <w:p w:rsidR="00813959" w:rsidRDefault="00813959" w:rsidP="00AC04B5">
      <w:pPr>
        <w:shd w:val="clear" w:color="auto" w:fill="FFFFFF"/>
        <w:ind w:right="-295"/>
        <w:jc w:val="center"/>
        <w:rPr>
          <w:rFonts w:ascii="Arial" w:hAnsi="Arial" w:cs="Arial"/>
          <w:b/>
          <w:sz w:val="24"/>
          <w:szCs w:val="24"/>
        </w:rPr>
      </w:pPr>
    </w:p>
    <w:p w:rsidR="00B252C6" w:rsidRPr="004A6D81" w:rsidRDefault="00B252C6" w:rsidP="00AC04B5">
      <w:pPr>
        <w:shd w:val="clear" w:color="auto" w:fill="FFFFFF"/>
        <w:ind w:right="-295"/>
        <w:jc w:val="center"/>
        <w:rPr>
          <w:rFonts w:ascii="Arial" w:hAnsi="Arial" w:cs="Arial"/>
          <w:b/>
          <w:sz w:val="24"/>
          <w:szCs w:val="24"/>
        </w:rPr>
      </w:pPr>
    </w:p>
    <w:p w:rsidR="00AA05E2" w:rsidRPr="004A6D81" w:rsidRDefault="00AA05E2" w:rsidP="00AC04B5">
      <w:pPr>
        <w:shd w:val="clear" w:color="auto" w:fill="FFFFFF"/>
        <w:ind w:right="-295"/>
        <w:jc w:val="center"/>
        <w:rPr>
          <w:rFonts w:ascii="Arial" w:hAnsi="Arial" w:cs="Arial"/>
          <w:b/>
          <w:sz w:val="24"/>
          <w:szCs w:val="24"/>
        </w:rPr>
      </w:pPr>
      <w:r w:rsidRPr="004A6D81">
        <w:rPr>
          <w:rFonts w:ascii="Arial" w:hAnsi="Arial" w:cs="Arial"/>
          <w:b/>
          <w:sz w:val="24"/>
          <w:szCs w:val="24"/>
        </w:rPr>
        <w:t>MINISTRUL JUSTIŢIEI</w:t>
      </w:r>
    </w:p>
    <w:p w:rsidR="00AA05E2" w:rsidRPr="004A6D81" w:rsidRDefault="00AA05E2" w:rsidP="00AC04B5">
      <w:pPr>
        <w:shd w:val="clear" w:color="auto" w:fill="FFFFFF"/>
        <w:ind w:right="-295"/>
        <w:jc w:val="center"/>
        <w:rPr>
          <w:rFonts w:ascii="Arial" w:hAnsi="Arial" w:cs="Arial"/>
          <w:b/>
          <w:sz w:val="24"/>
          <w:szCs w:val="24"/>
        </w:rPr>
      </w:pPr>
    </w:p>
    <w:p w:rsidR="000E2F75" w:rsidRPr="004A6D81" w:rsidRDefault="00AF4B4D" w:rsidP="00AA5262">
      <w:pPr>
        <w:ind w:left="3600"/>
      </w:pPr>
      <w:r w:rsidRPr="004A6D81">
        <w:rPr>
          <w:rFonts w:ascii="Arial" w:hAnsi="Arial" w:cs="Arial"/>
          <w:b/>
          <w:sz w:val="24"/>
          <w:szCs w:val="24"/>
        </w:rPr>
        <w:t>Stelian-Cristian ION</w:t>
      </w:r>
    </w:p>
    <w:sectPr w:rsidR="000E2F75" w:rsidRPr="004A6D81" w:rsidSect="00AC5C6D">
      <w:footerReference w:type="default" r:id="rId7"/>
      <w:pgSz w:w="11906" w:h="16838"/>
      <w:pgMar w:top="794" w:right="851" w:bottom="766" w:left="1134" w:header="0" w:footer="709" w:gutter="0"/>
      <w:cols w:space="720"/>
      <w:formProt w:val="0"/>
      <w:docGrid w:linePitch="240" w:charSpace="-14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A0" w:rsidRDefault="004A12A0">
      <w:r>
        <w:separator/>
      </w:r>
    </w:p>
  </w:endnote>
  <w:endnote w:type="continuationSeparator" w:id="1">
    <w:p w:rsidR="004A12A0" w:rsidRDefault="004A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3D" w:rsidRDefault="00AC5C6D">
    <w:pPr>
      <w:pStyle w:val="Footer"/>
      <w:jc w:val="right"/>
    </w:pPr>
    <w:r>
      <w:fldChar w:fldCharType="begin"/>
    </w:r>
    <w:r w:rsidR="00F05F49">
      <w:instrText>PAGE</w:instrText>
    </w:r>
    <w:r>
      <w:fldChar w:fldCharType="separate"/>
    </w:r>
    <w:r w:rsidR="008544B7">
      <w:rPr>
        <w:noProof/>
      </w:rPr>
      <w:t>7</w:t>
    </w:r>
    <w:r>
      <w:fldChar w:fldCharType="end"/>
    </w:r>
  </w:p>
  <w:p w:rsidR="007D453D" w:rsidRDefault="004A12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A0" w:rsidRDefault="004A12A0">
      <w:r>
        <w:separator/>
      </w:r>
    </w:p>
  </w:footnote>
  <w:footnote w:type="continuationSeparator" w:id="1">
    <w:p w:rsidR="004A12A0" w:rsidRDefault="004A1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49B2"/>
    <w:multiLevelType w:val="hybridMultilevel"/>
    <w:tmpl w:val="668C6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A13"/>
    <w:multiLevelType w:val="multilevel"/>
    <w:tmpl w:val="FAE4C6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5E2"/>
    <w:rsid w:val="00005D77"/>
    <w:rsid w:val="00024080"/>
    <w:rsid w:val="00025B1F"/>
    <w:rsid w:val="000365F3"/>
    <w:rsid w:val="00063D2E"/>
    <w:rsid w:val="0006733F"/>
    <w:rsid w:val="00091BDD"/>
    <w:rsid w:val="000B1F40"/>
    <w:rsid w:val="000E2F75"/>
    <w:rsid w:val="000F7652"/>
    <w:rsid w:val="00163116"/>
    <w:rsid w:val="00173820"/>
    <w:rsid w:val="001A4253"/>
    <w:rsid w:val="001D0676"/>
    <w:rsid w:val="001E363A"/>
    <w:rsid w:val="0021403D"/>
    <w:rsid w:val="002217DA"/>
    <w:rsid w:val="002615C0"/>
    <w:rsid w:val="00265C28"/>
    <w:rsid w:val="00265F53"/>
    <w:rsid w:val="002973E7"/>
    <w:rsid w:val="002B4026"/>
    <w:rsid w:val="002B57B7"/>
    <w:rsid w:val="002E41BE"/>
    <w:rsid w:val="002F7556"/>
    <w:rsid w:val="00323352"/>
    <w:rsid w:val="003359A8"/>
    <w:rsid w:val="00342C9B"/>
    <w:rsid w:val="003529E7"/>
    <w:rsid w:val="00355CDE"/>
    <w:rsid w:val="003900EB"/>
    <w:rsid w:val="003B4ED9"/>
    <w:rsid w:val="003D0DE9"/>
    <w:rsid w:val="003F050C"/>
    <w:rsid w:val="0042541C"/>
    <w:rsid w:val="00454016"/>
    <w:rsid w:val="00497988"/>
    <w:rsid w:val="004A12A0"/>
    <w:rsid w:val="004A6D81"/>
    <w:rsid w:val="004B2826"/>
    <w:rsid w:val="004D3121"/>
    <w:rsid w:val="004F12D7"/>
    <w:rsid w:val="00526D7E"/>
    <w:rsid w:val="0054458F"/>
    <w:rsid w:val="0055294F"/>
    <w:rsid w:val="00591178"/>
    <w:rsid w:val="00597711"/>
    <w:rsid w:val="005A4EFA"/>
    <w:rsid w:val="005D45D8"/>
    <w:rsid w:val="005E0FC4"/>
    <w:rsid w:val="005E4AB3"/>
    <w:rsid w:val="005F11DC"/>
    <w:rsid w:val="00667D5A"/>
    <w:rsid w:val="006C246F"/>
    <w:rsid w:val="006C28C1"/>
    <w:rsid w:val="00707E55"/>
    <w:rsid w:val="00732A04"/>
    <w:rsid w:val="00743FB6"/>
    <w:rsid w:val="007454A4"/>
    <w:rsid w:val="00747067"/>
    <w:rsid w:val="00763A04"/>
    <w:rsid w:val="00783AF9"/>
    <w:rsid w:val="007A0EF3"/>
    <w:rsid w:val="007A58E8"/>
    <w:rsid w:val="007D40DE"/>
    <w:rsid w:val="007E3B1F"/>
    <w:rsid w:val="007E5471"/>
    <w:rsid w:val="007F1888"/>
    <w:rsid w:val="008037EF"/>
    <w:rsid w:val="00806BAB"/>
    <w:rsid w:val="00813959"/>
    <w:rsid w:val="008150A2"/>
    <w:rsid w:val="00845898"/>
    <w:rsid w:val="00845D5E"/>
    <w:rsid w:val="00853F6C"/>
    <w:rsid w:val="008544B7"/>
    <w:rsid w:val="00871C5D"/>
    <w:rsid w:val="0087439D"/>
    <w:rsid w:val="00880F8E"/>
    <w:rsid w:val="008924ED"/>
    <w:rsid w:val="008A45C4"/>
    <w:rsid w:val="008C52E1"/>
    <w:rsid w:val="008E3CDB"/>
    <w:rsid w:val="008E6034"/>
    <w:rsid w:val="009244CC"/>
    <w:rsid w:val="0092590F"/>
    <w:rsid w:val="0095279E"/>
    <w:rsid w:val="00961576"/>
    <w:rsid w:val="00966FBA"/>
    <w:rsid w:val="00973AB3"/>
    <w:rsid w:val="009A149A"/>
    <w:rsid w:val="009A1F9C"/>
    <w:rsid w:val="009A3413"/>
    <w:rsid w:val="009D3A62"/>
    <w:rsid w:val="009E239F"/>
    <w:rsid w:val="009E51C1"/>
    <w:rsid w:val="00A23EA7"/>
    <w:rsid w:val="00A34A48"/>
    <w:rsid w:val="00A702B2"/>
    <w:rsid w:val="00A9035E"/>
    <w:rsid w:val="00A9251C"/>
    <w:rsid w:val="00AA04DA"/>
    <w:rsid w:val="00AA05E2"/>
    <w:rsid w:val="00AA5262"/>
    <w:rsid w:val="00AC04B5"/>
    <w:rsid w:val="00AC5C6D"/>
    <w:rsid w:val="00AD46F2"/>
    <w:rsid w:val="00AF4B4D"/>
    <w:rsid w:val="00B145F6"/>
    <w:rsid w:val="00B252C6"/>
    <w:rsid w:val="00B26428"/>
    <w:rsid w:val="00B35264"/>
    <w:rsid w:val="00B65B3F"/>
    <w:rsid w:val="00BA5FB0"/>
    <w:rsid w:val="00BB30A8"/>
    <w:rsid w:val="00BC55C8"/>
    <w:rsid w:val="00BE4804"/>
    <w:rsid w:val="00C15A6A"/>
    <w:rsid w:val="00C27C89"/>
    <w:rsid w:val="00C32872"/>
    <w:rsid w:val="00C601CE"/>
    <w:rsid w:val="00C7371A"/>
    <w:rsid w:val="00C9200A"/>
    <w:rsid w:val="00CB0898"/>
    <w:rsid w:val="00CB2685"/>
    <w:rsid w:val="00CB475D"/>
    <w:rsid w:val="00CC4BFB"/>
    <w:rsid w:val="00D04477"/>
    <w:rsid w:val="00D16E2E"/>
    <w:rsid w:val="00D20044"/>
    <w:rsid w:val="00D46427"/>
    <w:rsid w:val="00D559CD"/>
    <w:rsid w:val="00D63FC5"/>
    <w:rsid w:val="00D63FE3"/>
    <w:rsid w:val="00D74D43"/>
    <w:rsid w:val="00D82C6D"/>
    <w:rsid w:val="00DB159C"/>
    <w:rsid w:val="00DB1E69"/>
    <w:rsid w:val="00DD0AB0"/>
    <w:rsid w:val="00E03D54"/>
    <w:rsid w:val="00E06DEC"/>
    <w:rsid w:val="00E077C8"/>
    <w:rsid w:val="00E16B1D"/>
    <w:rsid w:val="00E476AD"/>
    <w:rsid w:val="00E56102"/>
    <w:rsid w:val="00E57477"/>
    <w:rsid w:val="00E674D7"/>
    <w:rsid w:val="00E72A55"/>
    <w:rsid w:val="00E87257"/>
    <w:rsid w:val="00EA60E1"/>
    <w:rsid w:val="00EB21F5"/>
    <w:rsid w:val="00ED3DCD"/>
    <w:rsid w:val="00ED5C92"/>
    <w:rsid w:val="00EF39B8"/>
    <w:rsid w:val="00EF49D6"/>
    <w:rsid w:val="00F03809"/>
    <w:rsid w:val="00F05F49"/>
    <w:rsid w:val="00F1593D"/>
    <w:rsid w:val="00F175B1"/>
    <w:rsid w:val="00F31D9C"/>
    <w:rsid w:val="00F547C9"/>
    <w:rsid w:val="00F957FA"/>
    <w:rsid w:val="00FD0F63"/>
    <w:rsid w:val="00FD31C8"/>
    <w:rsid w:val="00FE128C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E2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8"/>
      <w:szCs w:val="2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qFormat/>
    <w:rsid w:val="00AA05E2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05E2"/>
    <w:rPr>
      <w:color w:val="00000A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AA05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AA05E2"/>
    <w:rPr>
      <w:rFonts w:ascii="Times New Roman" w:eastAsia="SimSun" w:hAnsi="Times New Roman" w:cs="Times New Roman"/>
      <w:color w:val="00000A"/>
      <w:sz w:val="28"/>
      <w:szCs w:val="28"/>
      <w:lang w:val="ro-RO" w:eastAsia="zh-CN"/>
    </w:rPr>
  </w:style>
  <w:style w:type="paragraph" w:customStyle="1" w:styleId="TableText">
    <w:name w:val="Table Text"/>
    <w:basedOn w:val="Normal"/>
    <w:qFormat/>
    <w:rsid w:val="00AA05E2"/>
    <w:pPr>
      <w:widowControl w:val="0"/>
      <w:jc w:val="right"/>
    </w:pPr>
    <w:rPr>
      <w:sz w:val="24"/>
      <w:szCs w:val="24"/>
      <w:lang w:val="en-US"/>
    </w:rPr>
  </w:style>
  <w:style w:type="paragraph" w:customStyle="1" w:styleId="DefaultText">
    <w:name w:val="Default Text"/>
    <w:basedOn w:val="Normal"/>
    <w:qFormat/>
    <w:rsid w:val="00AA05E2"/>
    <w:rPr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AA05E2"/>
    <w:pPr>
      <w:suppressLineNumbers/>
    </w:pPr>
  </w:style>
  <w:style w:type="paragraph" w:styleId="ListParagraph">
    <w:name w:val="List Paragraph"/>
    <w:basedOn w:val="Normal"/>
    <w:uiPriority w:val="99"/>
    <w:qFormat/>
    <w:rsid w:val="00AA05E2"/>
    <w:pPr>
      <w:ind w:left="720"/>
      <w:contextualSpacing/>
    </w:pPr>
  </w:style>
  <w:style w:type="paragraph" w:customStyle="1" w:styleId="CaracterCaracter">
    <w:name w:val="Caracter Caracter"/>
    <w:basedOn w:val="Normal"/>
    <w:rsid w:val="00973AB3"/>
    <w:pPr>
      <w:suppressAutoHyphens w:val="0"/>
    </w:pPr>
    <w:rPr>
      <w:rFonts w:eastAsia="Times New Roman"/>
      <w:color w:val="auto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3"/>
    <w:rPr>
      <w:rFonts w:ascii="Segoe UI" w:eastAsia="SimSun" w:hAnsi="Segoe UI" w:cs="Segoe UI"/>
      <w:color w:val="00000A"/>
      <w:sz w:val="18"/>
      <w:szCs w:val="18"/>
      <w:lang w:val="ro-R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7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A55"/>
    <w:rPr>
      <w:rFonts w:ascii="Times New Roman" w:eastAsia="SimSun" w:hAnsi="Times New Roman" w:cs="Times New Roman"/>
      <w:color w:val="00000A"/>
      <w:sz w:val="20"/>
      <w:szCs w:val="20"/>
      <w:lang w:val="ro-RO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55"/>
    <w:rPr>
      <w:rFonts w:ascii="Times New Roman" w:eastAsia="SimSun" w:hAnsi="Times New Roman" w:cs="Times New Roman"/>
      <w:b/>
      <w:bCs/>
      <w:color w:val="00000A"/>
      <w:sz w:val="20"/>
      <w:szCs w:val="20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2046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FECHETE</dc:creator>
  <cp:lastModifiedBy>74608387</cp:lastModifiedBy>
  <cp:revision>3</cp:revision>
  <dcterms:created xsi:type="dcterms:W3CDTF">2021-04-23T07:15:00Z</dcterms:created>
  <dcterms:modified xsi:type="dcterms:W3CDTF">2021-04-23T09:09:00Z</dcterms:modified>
</cp:coreProperties>
</file>